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Ind w:w="0" w:type="dxa"/>
        <w:tblCellMar>
          <w:top w:w="80" w:type="dxa"/>
          <w:left w:w="106" w:type="dxa"/>
          <w:bottom w:w="163" w:type="dxa"/>
          <w:right w:w="51" w:type="dxa"/>
        </w:tblCellMar>
        <w:tblLook w:val="04A0" w:firstRow="1" w:lastRow="0" w:firstColumn="1" w:lastColumn="0" w:noHBand="0" w:noVBand="1"/>
      </w:tblPr>
      <w:tblGrid>
        <w:gridCol w:w="7513"/>
        <w:gridCol w:w="2552"/>
      </w:tblGrid>
      <w:tr w:rsidR="00DE1C65" w:rsidRPr="0086220A" w14:paraId="09F49E69" w14:textId="77777777" w:rsidTr="0086220A">
        <w:trPr>
          <w:trHeight w:val="2163"/>
        </w:trPr>
        <w:tc>
          <w:tcPr>
            <w:tcW w:w="7513" w:type="dxa"/>
            <w:tcBorders>
              <w:top w:val="single" w:sz="4" w:space="0" w:color="000000"/>
              <w:left w:val="nil"/>
              <w:bottom w:val="single" w:sz="4" w:space="0" w:color="000000"/>
              <w:right w:val="nil"/>
            </w:tcBorders>
            <w:shd w:val="clear" w:color="auto" w:fill="D9D9D9"/>
          </w:tcPr>
          <w:p w14:paraId="1E7D3915" w14:textId="0760A1B2" w:rsidR="00DE1C65" w:rsidRPr="0086220A" w:rsidRDefault="002314B0" w:rsidP="00D303C7">
            <w:pPr>
              <w:spacing w:after="0" w:line="260" w:lineRule="auto"/>
              <w:ind w:left="0" w:right="30" w:firstLine="0"/>
              <w:rPr>
                <w:rFonts w:asciiTheme="majorBidi" w:hAnsiTheme="majorBidi" w:cstheme="majorBidi"/>
              </w:rPr>
            </w:pPr>
            <w:r w:rsidRPr="0086220A">
              <w:rPr>
                <w:rFonts w:asciiTheme="majorBidi" w:hAnsiTheme="majorBidi" w:cstheme="majorBidi"/>
                <w:color w:val="C45911"/>
              </w:rPr>
              <w:t>To Cite:</w:t>
            </w:r>
            <w:r w:rsidRPr="0086220A">
              <w:rPr>
                <w:rFonts w:asciiTheme="majorBidi" w:hAnsiTheme="majorBidi" w:cstheme="majorBidi"/>
              </w:rPr>
              <w:t xml:space="preserve"> </w:t>
            </w:r>
            <w:r w:rsidR="00D303C7" w:rsidRPr="00D303C7">
              <w:rPr>
                <w:rFonts w:asciiTheme="majorBidi" w:hAnsiTheme="majorBidi" w:cstheme="majorBidi"/>
              </w:rPr>
              <w:t>Saba</w:t>
            </w:r>
            <w:r w:rsidR="00D303C7">
              <w:rPr>
                <w:rFonts w:asciiTheme="majorBidi" w:hAnsiTheme="majorBidi" w:cstheme="majorBidi"/>
              </w:rPr>
              <w:t>, G.</w:t>
            </w:r>
            <w:r w:rsidR="00D303C7" w:rsidRPr="00D303C7">
              <w:rPr>
                <w:rFonts w:asciiTheme="majorBidi" w:hAnsiTheme="majorBidi" w:cstheme="majorBidi"/>
              </w:rPr>
              <w:t xml:space="preserve"> Umar</w:t>
            </w:r>
            <w:r w:rsidR="00D303C7">
              <w:rPr>
                <w:rFonts w:asciiTheme="majorBidi" w:hAnsiTheme="majorBidi" w:cstheme="majorBidi"/>
              </w:rPr>
              <w:t xml:space="preserve">, N. (2026) </w:t>
            </w:r>
            <w:r w:rsidR="00D303C7" w:rsidRPr="00D303C7">
              <w:rPr>
                <w:rFonts w:asciiTheme="majorBidi" w:hAnsiTheme="majorBidi" w:cstheme="majorBidi"/>
              </w:rPr>
              <w:t>From Hybrid Democracy to Constitutionalized Tutelage: The 27th Amendment, Civil-Military Relations and the Institutionalization of Military Primacy in Pakistan</w:t>
            </w:r>
          </w:p>
          <w:p w14:paraId="3291D68A" w14:textId="77777777" w:rsidR="0086220A" w:rsidRDefault="002314B0" w:rsidP="0086220A">
            <w:pPr>
              <w:spacing w:after="0" w:line="259" w:lineRule="auto"/>
              <w:ind w:left="0" w:right="30" w:firstLine="0"/>
              <w:rPr>
                <w:rFonts w:asciiTheme="majorBidi" w:hAnsiTheme="majorBidi" w:cstheme="majorBidi"/>
                <w:color w:val="C45911"/>
              </w:rPr>
            </w:pPr>
            <w:r w:rsidRPr="0086220A">
              <w:rPr>
                <w:rFonts w:asciiTheme="majorBidi" w:hAnsiTheme="majorBidi" w:cstheme="majorBidi"/>
                <w:color w:val="C45911"/>
              </w:rPr>
              <w:t xml:space="preserve">Corresponding Author: </w:t>
            </w:r>
          </w:p>
          <w:p w14:paraId="78CE52F0" w14:textId="4CCF8D76" w:rsidR="004C1803" w:rsidRDefault="0086220A" w:rsidP="004C1803">
            <w:pPr>
              <w:spacing w:after="0" w:line="259" w:lineRule="auto"/>
              <w:ind w:left="0" w:right="30" w:firstLine="0"/>
              <w:rPr>
                <w:rFonts w:asciiTheme="majorBidi" w:hAnsiTheme="majorBidi" w:cstheme="majorBidi"/>
              </w:rPr>
            </w:pPr>
            <w:r w:rsidRPr="0086220A">
              <w:rPr>
                <w:rFonts w:asciiTheme="majorBidi" w:hAnsiTheme="majorBidi" w:cstheme="majorBidi"/>
              </w:rPr>
              <w:t>1.</w:t>
            </w:r>
            <w:r w:rsidR="00CF632A">
              <w:rPr>
                <w:rFonts w:asciiTheme="majorBidi" w:hAnsiTheme="majorBidi" w:cstheme="majorBidi"/>
              </w:rPr>
              <w:t>Lecturer</w:t>
            </w:r>
            <w:r w:rsidR="00454E99">
              <w:rPr>
                <w:rFonts w:asciiTheme="majorBidi" w:hAnsiTheme="majorBidi" w:cstheme="majorBidi"/>
              </w:rPr>
              <w:t>, Govt. Girls Degree College KDA</w:t>
            </w:r>
            <w:r w:rsidR="00776878">
              <w:rPr>
                <w:rFonts w:asciiTheme="majorBidi" w:hAnsiTheme="majorBidi" w:cstheme="majorBidi"/>
              </w:rPr>
              <w:t>, Karak.</w:t>
            </w:r>
            <w:r w:rsidR="005F65A6">
              <w:rPr>
                <w:rFonts w:asciiTheme="majorBidi" w:hAnsiTheme="majorBidi" w:cstheme="majorBidi"/>
              </w:rPr>
              <w:t xml:space="preserve"> Email: </w:t>
            </w:r>
            <w:r w:rsidR="00904FCA">
              <w:rPr>
                <w:rFonts w:asciiTheme="majorBidi" w:hAnsiTheme="majorBidi" w:cstheme="majorBidi"/>
              </w:rPr>
              <w:t>gulsabakhattak</w:t>
            </w:r>
            <w:r w:rsidR="005F65A6">
              <w:rPr>
                <w:rFonts w:asciiTheme="majorBidi" w:hAnsiTheme="majorBidi" w:cstheme="majorBidi"/>
              </w:rPr>
              <w:t>@gmail.com</w:t>
            </w:r>
          </w:p>
          <w:p w14:paraId="67EA852F" w14:textId="77777777" w:rsidR="003E55D8" w:rsidRDefault="003E55D8" w:rsidP="004C1803">
            <w:pPr>
              <w:spacing w:after="0" w:line="259" w:lineRule="auto"/>
              <w:ind w:left="0" w:right="30" w:firstLine="0"/>
              <w:rPr>
                <w:rFonts w:asciiTheme="majorBidi" w:hAnsiTheme="majorBidi" w:cstheme="majorBidi"/>
              </w:rPr>
            </w:pPr>
          </w:p>
          <w:p w14:paraId="54EA619C" w14:textId="20BA8170" w:rsidR="00776878" w:rsidRPr="0086220A" w:rsidRDefault="00776878" w:rsidP="004C1803">
            <w:pPr>
              <w:spacing w:after="0" w:line="259" w:lineRule="auto"/>
              <w:ind w:left="0" w:right="30" w:firstLine="0"/>
              <w:rPr>
                <w:rFonts w:asciiTheme="majorBidi" w:hAnsiTheme="majorBidi" w:cstheme="majorBidi"/>
              </w:rPr>
            </w:pPr>
            <w:r>
              <w:rPr>
                <w:rFonts w:asciiTheme="majorBidi" w:hAnsiTheme="majorBidi" w:cstheme="majorBidi"/>
              </w:rPr>
              <w:t>2. Department of Political Science, Govt Post Graduate College Karak</w:t>
            </w:r>
            <w:r w:rsidR="00131E6C">
              <w:rPr>
                <w:rFonts w:asciiTheme="majorBidi" w:hAnsiTheme="majorBidi" w:cstheme="majorBidi"/>
              </w:rPr>
              <w:t xml:space="preserve">. Email: </w:t>
            </w:r>
            <w:r w:rsidR="00F83361">
              <w:rPr>
                <w:rFonts w:asciiTheme="majorBidi" w:hAnsiTheme="majorBidi" w:cstheme="majorBidi"/>
              </w:rPr>
              <w:t>anzishgulanzishgul</w:t>
            </w:r>
            <w:r w:rsidR="0020597C">
              <w:rPr>
                <w:rFonts w:asciiTheme="majorBidi" w:hAnsiTheme="majorBidi" w:cstheme="majorBidi"/>
              </w:rPr>
              <w:t>4@gmail.com</w:t>
            </w:r>
          </w:p>
          <w:p w14:paraId="4503A050" w14:textId="17EAFF2C" w:rsidR="00DE1C65" w:rsidRPr="0086220A" w:rsidRDefault="00DE1C65" w:rsidP="0086220A">
            <w:pPr>
              <w:spacing w:after="0" w:line="259" w:lineRule="auto"/>
              <w:ind w:left="0" w:right="30" w:firstLine="0"/>
              <w:jc w:val="left"/>
              <w:rPr>
                <w:rFonts w:asciiTheme="majorBidi" w:hAnsiTheme="majorBidi" w:cstheme="majorBidi"/>
              </w:rPr>
            </w:pPr>
          </w:p>
        </w:tc>
        <w:tc>
          <w:tcPr>
            <w:tcW w:w="2552" w:type="dxa"/>
            <w:tcBorders>
              <w:top w:val="single" w:sz="4" w:space="0" w:color="000000"/>
              <w:left w:val="nil"/>
              <w:bottom w:val="single" w:sz="4" w:space="0" w:color="000000"/>
              <w:right w:val="nil"/>
            </w:tcBorders>
            <w:vAlign w:val="bottom"/>
          </w:tcPr>
          <w:p w14:paraId="5F849281" w14:textId="02AA0B78" w:rsidR="00DE1C65" w:rsidRPr="0086220A" w:rsidRDefault="0086220A" w:rsidP="00825E45">
            <w:pPr>
              <w:spacing w:after="0" w:line="259" w:lineRule="auto"/>
              <w:ind w:left="148" w:right="0" w:firstLine="0"/>
              <w:jc w:val="left"/>
              <w:rPr>
                <w:rFonts w:asciiTheme="majorBidi" w:hAnsiTheme="majorBidi" w:cstheme="majorBidi"/>
              </w:rPr>
            </w:pPr>
            <w:r w:rsidRPr="0086220A">
              <w:rPr>
                <w:rFonts w:asciiTheme="majorBidi" w:hAnsiTheme="majorBidi" w:cstheme="majorBidi"/>
                <w:noProof/>
              </w:rPr>
              <w:drawing>
                <wp:anchor distT="0" distB="0" distL="114300" distR="114300" simplePos="0" relativeHeight="251658240" behindDoc="0" locked="0" layoutInCell="1" allowOverlap="1" wp14:anchorId="656C3E51" wp14:editId="49CBD4D7">
                  <wp:simplePos x="0" y="0"/>
                  <wp:positionH relativeFrom="column">
                    <wp:posOffset>139065</wp:posOffset>
                  </wp:positionH>
                  <wp:positionV relativeFrom="paragraph">
                    <wp:posOffset>-1222375</wp:posOffset>
                  </wp:positionV>
                  <wp:extent cx="1162050" cy="762000"/>
                  <wp:effectExtent l="0" t="0" r="0" b="0"/>
                  <wp:wrapNone/>
                  <wp:docPr id="140" name="Pictu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7">
                            <a:extLst>
                              <a:ext uri="{28A0092B-C50C-407E-A947-70E740481C1C}">
                                <a14:useLocalDpi xmlns:a14="http://schemas.microsoft.com/office/drawing/2010/main" val="0"/>
                              </a:ext>
                            </a:extLst>
                          </a:blip>
                          <a:stretch>
                            <a:fillRect/>
                          </a:stretch>
                        </pic:blipFill>
                        <pic:spPr>
                          <a:xfrm>
                            <a:off x="0" y="0"/>
                            <a:ext cx="1162050" cy="762000"/>
                          </a:xfrm>
                          <a:prstGeom prst="rect">
                            <a:avLst/>
                          </a:prstGeom>
                        </pic:spPr>
                      </pic:pic>
                    </a:graphicData>
                  </a:graphic>
                  <wp14:sizeRelH relativeFrom="page">
                    <wp14:pctWidth>0</wp14:pctWidth>
                  </wp14:sizeRelH>
                  <wp14:sizeRelV relativeFrom="page">
                    <wp14:pctHeight>0</wp14:pctHeight>
                  </wp14:sizeRelV>
                </wp:anchor>
              </w:drawing>
            </w:r>
            <w:r w:rsidRPr="0086220A">
              <w:rPr>
                <w:rFonts w:asciiTheme="majorBidi" w:hAnsiTheme="majorBidi" w:cstheme="majorBidi"/>
              </w:rPr>
              <w:t>Pages: 1</w:t>
            </w:r>
            <w:r w:rsidR="00D303C7">
              <w:rPr>
                <w:rFonts w:asciiTheme="majorBidi" w:hAnsiTheme="majorBidi" w:cstheme="majorBidi"/>
              </w:rPr>
              <w:t>9</w:t>
            </w:r>
            <w:r w:rsidRPr="0086220A">
              <w:rPr>
                <w:rFonts w:asciiTheme="majorBidi" w:hAnsiTheme="majorBidi" w:cstheme="majorBidi"/>
              </w:rPr>
              <w:t xml:space="preserve"> – </w:t>
            </w:r>
            <w:r w:rsidR="00D303C7">
              <w:rPr>
                <w:rFonts w:asciiTheme="majorBidi" w:hAnsiTheme="majorBidi" w:cstheme="majorBidi"/>
              </w:rPr>
              <w:t>27</w:t>
            </w:r>
          </w:p>
          <w:p w14:paraId="7BF53B65" w14:textId="340D534D" w:rsidR="00DE1C65" w:rsidRPr="0086220A" w:rsidRDefault="002314B0" w:rsidP="00825E45">
            <w:pPr>
              <w:spacing w:after="0" w:line="259" w:lineRule="auto"/>
              <w:ind w:right="0"/>
              <w:jc w:val="left"/>
              <w:rPr>
                <w:rFonts w:asciiTheme="majorBidi" w:hAnsiTheme="majorBidi" w:cstheme="majorBidi"/>
              </w:rPr>
            </w:pPr>
            <w:r w:rsidRPr="0086220A">
              <w:rPr>
                <w:rFonts w:asciiTheme="majorBidi" w:hAnsiTheme="majorBidi" w:cstheme="majorBidi"/>
              </w:rPr>
              <w:t>Vol. 2, No. 1 (202</w:t>
            </w:r>
            <w:r w:rsidR="00D303C7">
              <w:rPr>
                <w:rFonts w:asciiTheme="majorBidi" w:hAnsiTheme="majorBidi" w:cstheme="majorBidi"/>
              </w:rPr>
              <w:t>6</w:t>
            </w:r>
            <w:r w:rsidRPr="0086220A">
              <w:rPr>
                <w:rFonts w:asciiTheme="majorBidi" w:hAnsiTheme="majorBidi" w:cstheme="majorBidi"/>
              </w:rPr>
              <w:t>)</w:t>
            </w:r>
            <w:r w:rsidRPr="0086220A">
              <w:rPr>
                <w:rFonts w:asciiTheme="majorBidi" w:eastAsia="Calibri" w:hAnsiTheme="majorBidi" w:cstheme="majorBidi"/>
                <w:sz w:val="22"/>
              </w:rPr>
              <w:t xml:space="preserve"> </w:t>
            </w:r>
          </w:p>
        </w:tc>
      </w:tr>
    </w:tbl>
    <w:p w14:paraId="086DDA6B" w14:textId="77777777" w:rsidR="00DE1C65" w:rsidRPr="0086220A" w:rsidRDefault="002314B0" w:rsidP="0086220A">
      <w:pPr>
        <w:spacing w:after="0" w:line="259" w:lineRule="auto"/>
        <w:ind w:left="0" w:right="-557" w:firstLine="0"/>
        <w:jc w:val="left"/>
        <w:rPr>
          <w:rFonts w:asciiTheme="majorBidi" w:hAnsiTheme="majorBidi" w:cstheme="majorBidi"/>
        </w:rPr>
      </w:pPr>
      <w:r w:rsidRPr="0086220A">
        <w:rPr>
          <w:rFonts w:asciiTheme="majorBidi" w:eastAsia="Calibri" w:hAnsiTheme="majorBidi" w:cstheme="majorBidi"/>
          <w:noProof/>
          <w:sz w:val="22"/>
        </w:rPr>
        <mc:AlternateContent>
          <mc:Choice Requires="wpg">
            <w:drawing>
              <wp:inline distT="0" distB="0" distL="0" distR="0" wp14:anchorId="7B04E520" wp14:editId="05D6ED19">
                <wp:extent cx="6392926" cy="6096"/>
                <wp:effectExtent l="0" t="0" r="0" b="0"/>
                <wp:docPr id="25840" name="Group 25840"/>
                <wp:cNvGraphicFramePr/>
                <a:graphic xmlns:a="http://schemas.openxmlformats.org/drawingml/2006/main">
                  <a:graphicData uri="http://schemas.microsoft.com/office/word/2010/wordprocessingGroup">
                    <wpg:wgp>
                      <wpg:cNvGrpSpPr/>
                      <wpg:grpSpPr>
                        <a:xfrm>
                          <a:off x="0" y="0"/>
                          <a:ext cx="6392926" cy="6096"/>
                          <a:chOff x="0" y="0"/>
                          <a:chExt cx="6392926" cy="6096"/>
                        </a:xfrm>
                      </wpg:grpSpPr>
                      <wps:wsp>
                        <wps:cNvPr id="30828" name="Shape 30828"/>
                        <wps:cNvSpPr/>
                        <wps:spPr>
                          <a:xfrm>
                            <a:off x="0" y="0"/>
                            <a:ext cx="6392926" cy="9144"/>
                          </a:xfrm>
                          <a:custGeom>
                            <a:avLst/>
                            <a:gdLst/>
                            <a:ahLst/>
                            <a:cxnLst/>
                            <a:rect l="0" t="0" r="0" b="0"/>
                            <a:pathLst>
                              <a:path w="6392926" h="9144">
                                <a:moveTo>
                                  <a:pt x="0" y="0"/>
                                </a:moveTo>
                                <a:lnTo>
                                  <a:pt x="6392926" y="0"/>
                                </a:lnTo>
                                <a:lnTo>
                                  <a:pt x="63929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40" style="width:503.38pt;height:0.47998pt;mso-position-horizontal-relative:char;mso-position-vertical-relative:line" coordsize="63929,60">
                <v:shape id="Shape 30829" style="position:absolute;width:63929;height:91;left:0;top:0;" coordsize="6392926,9144" path="m0,0l6392926,0l6392926,9144l0,9144l0,0">
                  <v:stroke weight="0pt" endcap="flat" joinstyle="miter" miterlimit="10" on="false" color="#000000" opacity="0"/>
                  <v:fill on="true" color="#000000"/>
                </v:shape>
              </v:group>
            </w:pict>
          </mc:Fallback>
        </mc:AlternateContent>
      </w:r>
    </w:p>
    <w:p w14:paraId="0F83E26C" w14:textId="1B8FDE18" w:rsidR="00635503" w:rsidRDefault="00160ABE" w:rsidP="0086220A">
      <w:pPr>
        <w:spacing w:after="0" w:line="259" w:lineRule="auto"/>
        <w:ind w:left="0" w:right="-557" w:firstLine="0"/>
        <w:jc w:val="center"/>
        <w:rPr>
          <w:rFonts w:asciiTheme="majorBidi" w:eastAsia="Calibri" w:hAnsiTheme="majorBidi" w:cstheme="majorBidi"/>
          <w:noProof/>
          <w:sz w:val="22"/>
        </w:rPr>
      </w:pPr>
      <w:r>
        <w:rPr>
          <w:rFonts w:asciiTheme="majorBidi" w:hAnsiTheme="majorBidi" w:cstheme="majorBidi"/>
        </w:rPr>
        <w:t>Gul Saba</w:t>
      </w:r>
      <w:r w:rsidR="00635503" w:rsidRPr="0086220A">
        <w:rPr>
          <w:rFonts w:asciiTheme="majorBidi" w:hAnsiTheme="majorBidi" w:cstheme="majorBidi"/>
          <w:vertAlign w:val="superscript"/>
        </w:rPr>
        <w:t>1</w:t>
      </w:r>
      <w:r>
        <w:rPr>
          <w:rFonts w:asciiTheme="majorBidi" w:hAnsiTheme="majorBidi" w:cstheme="majorBidi"/>
        </w:rPr>
        <w:t xml:space="preserve"> Nazish Umar</w:t>
      </w:r>
      <w:r w:rsidR="00635503" w:rsidRPr="0086220A">
        <w:rPr>
          <w:rFonts w:asciiTheme="majorBidi" w:hAnsiTheme="majorBidi" w:cstheme="majorBidi"/>
          <w:vertAlign w:val="superscript"/>
        </w:rPr>
        <w:t>2</w:t>
      </w:r>
    </w:p>
    <w:p w14:paraId="190322B8" w14:textId="764350E9" w:rsidR="00DE1C65" w:rsidRPr="0086220A" w:rsidRDefault="0086220A" w:rsidP="0086220A">
      <w:pPr>
        <w:spacing w:after="0" w:line="259" w:lineRule="auto"/>
        <w:ind w:left="0" w:right="-557" w:firstLine="0"/>
        <w:jc w:val="center"/>
        <w:rPr>
          <w:rFonts w:asciiTheme="majorBidi" w:hAnsiTheme="majorBidi" w:cstheme="majorBidi"/>
        </w:rPr>
      </w:pPr>
      <w:r w:rsidRPr="0086220A">
        <w:rPr>
          <w:rFonts w:asciiTheme="majorBidi" w:eastAsia="Calibri" w:hAnsiTheme="majorBidi" w:cstheme="majorBidi"/>
          <w:noProof/>
          <w:sz w:val="22"/>
        </w:rPr>
        <mc:AlternateContent>
          <mc:Choice Requires="wpg">
            <w:drawing>
              <wp:inline distT="0" distB="0" distL="0" distR="0" wp14:anchorId="21527DEC" wp14:editId="74B59628">
                <wp:extent cx="6402070" cy="6096"/>
                <wp:effectExtent l="0" t="0" r="0" b="0"/>
                <wp:docPr id="25842" name="Group 25842"/>
                <wp:cNvGraphicFramePr/>
                <a:graphic xmlns:a="http://schemas.openxmlformats.org/drawingml/2006/main">
                  <a:graphicData uri="http://schemas.microsoft.com/office/word/2010/wordprocessingGroup">
                    <wpg:wgp>
                      <wpg:cNvGrpSpPr/>
                      <wpg:grpSpPr>
                        <a:xfrm>
                          <a:off x="0" y="0"/>
                          <a:ext cx="6402070" cy="6096"/>
                          <a:chOff x="0" y="0"/>
                          <a:chExt cx="6402070" cy="6096"/>
                        </a:xfrm>
                      </wpg:grpSpPr>
                      <wps:wsp>
                        <wps:cNvPr id="30830" name="Shape 30830"/>
                        <wps:cNvSpPr/>
                        <wps:spPr>
                          <a:xfrm>
                            <a:off x="0" y="0"/>
                            <a:ext cx="6402070" cy="9144"/>
                          </a:xfrm>
                          <a:custGeom>
                            <a:avLst/>
                            <a:gdLst/>
                            <a:ahLst/>
                            <a:cxnLst/>
                            <a:rect l="0" t="0" r="0" b="0"/>
                            <a:pathLst>
                              <a:path w="6402070" h="9144">
                                <a:moveTo>
                                  <a:pt x="0" y="0"/>
                                </a:moveTo>
                                <a:lnTo>
                                  <a:pt x="6402070" y="0"/>
                                </a:lnTo>
                                <a:lnTo>
                                  <a:pt x="64020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42" style="width:504.1pt;height:0.47998pt;mso-position-horizontal-relative:char;mso-position-vertical-relative:line" coordsize="64020,60">
                <v:shape id="Shape 30831" style="position:absolute;width:64020;height:91;left:0;top:0;" coordsize="6402070,9144" path="m0,0l6402070,0l6402070,9144l0,9144l0,0">
                  <v:stroke weight="0pt" endcap="flat" joinstyle="miter" miterlimit="10" on="false" color="#000000" opacity="0"/>
                  <v:fill on="true" color="#000000"/>
                </v:shape>
              </v:group>
            </w:pict>
          </mc:Fallback>
        </mc:AlternateContent>
      </w:r>
    </w:p>
    <w:p w14:paraId="6F011FB0" w14:textId="6E42DE41" w:rsidR="0023042D" w:rsidRPr="0023042D" w:rsidRDefault="0023042D" w:rsidP="0023042D">
      <w:pPr>
        <w:rPr>
          <w:color w:val="BF4E14" w:themeColor="accent2" w:themeShade="BF"/>
        </w:rPr>
      </w:pPr>
      <w:r w:rsidRPr="0023042D">
        <w:rPr>
          <w:color w:val="BF4E14" w:themeColor="accent2" w:themeShade="BF"/>
        </w:rPr>
        <w:t>From Hybrid Democracy to Constitutionalized Tutelage: The 27th Amendment, Civil-Military Relations and the Institutionalization of Military Primacy in Pakistan</w:t>
      </w:r>
    </w:p>
    <w:p w14:paraId="6CD4A11B" w14:textId="77777777" w:rsidR="00DE1C65" w:rsidRPr="0086220A" w:rsidRDefault="002314B0" w:rsidP="0086220A">
      <w:pPr>
        <w:pStyle w:val="Heading1"/>
        <w:spacing w:after="49" w:line="240" w:lineRule="auto"/>
        <w:ind w:left="234" w:firstLine="0"/>
        <w:jc w:val="center"/>
        <w:rPr>
          <w:rFonts w:asciiTheme="majorBidi" w:hAnsiTheme="majorBidi" w:cstheme="majorBidi"/>
        </w:rPr>
      </w:pPr>
      <w:r w:rsidRPr="0086220A">
        <w:rPr>
          <w:rFonts w:asciiTheme="majorBidi" w:hAnsiTheme="majorBidi" w:cstheme="majorBidi"/>
        </w:rPr>
        <w:t xml:space="preserve">ABSTRACT </w:t>
      </w:r>
    </w:p>
    <w:p w14:paraId="42E090C0" w14:textId="1DF30876" w:rsidR="00117EB2" w:rsidRPr="00F2727A" w:rsidRDefault="002314B0" w:rsidP="00F2727A">
      <w:pPr>
        <w:pBdr>
          <w:top w:val="single" w:sz="4" w:space="0" w:color="000000"/>
          <w:bottom w:val="single" w:sz="4" w:space="0" w:color="000000"/>
        </w:pBdr>
        <w:shd w:val="clear" w:color="auto" w:fill="D9D9D9"/>
        <w:spacing w:after="0" w:line="240" w:lineRule="auto"/>
        <w:ind w:left="302" w:right="64" w:firstLine="0"/>
        <w:rPr>
          <w:rFonts w:asciiTheme="majorBidi" w:hAnsiTheme="majorBidi" w:cstheme="majorBidi"/>
        </w:rPr>
      </w:pPr>
      <w:r w:rsidRPr="0086220A">
        <w:rPr>
          <w:rFonts w:asciiTheme="majorBidi" w:hAnsiTheme="majorBidi" w:cstheme="majorBidi"/>
          <w:b/>
          <w:color w:val="C45911"/>
        </w:rPr>
        <w:t>Abstract</w:t>
      </w:r>
      <w:r w:rsidR="00172C8C">
        <w:rPr>
          <w:rFonts w:asciiTheme="majorBidi" w:hAnsiTheme="majorBidi" w:cstheme="majorBidi"/>
          <w:b/>
          <w:color w:val="C45911"/>
        </w:rPr>
        <w:t xml:space="preserve">: </w:t>
      </w:r>
      <w:r w:rsidR="00117EB2" w:rsidRPr="008B239B">
        <w:t>The present article discusses the Constitution (Twenty-Seventh Amendment) Act, 2025 as a significant institutional change in the civil-military relations in Pakistan. Questions whether it is simply a reorganisation of defence and constitutional case law or a shift from the historical informal military tutelage to a more enduring constitutional system. It employs the qualitative constitutional-text analysis and historically informed process tracing methods based on the amended Constitution, institutional commentary and scholarship on the nature of hybrid regimes and civil-military relations. The analysis is on the position of the Chief of Defence Forces (CDF), the position and protection of five-star officers and the establishment of the Federal Constitutional Court (FCC). The outcome is that rank and legal protections for five-star officers is life tenure, and that the amendment has brought the five services closer together under the control of the army chief, who would also serve as CDF, while allotting to the FCC major constitutional powers that the critics say are more politically driven than in the current judicial appointments system. The article explains this as ‘constitutionalized tutelage': an analytical state of affairs in which the predominance of the military forces is maintained in both informal pressure and constitutional rules. Elections and civilian institutions are functioning, but are not fully able to check the use of coercive power and hold it to account. The results then reveal a shift from the traditional hybrid governance towards a more institutionalized civil-military hierarchy, while recognizing that the long-term impacts of the amendment will be determined by its implementation, adjudication and political contestation.</w:t>
      </w:r>
    </w:p>
    <w:p w14:paraId="36ECA48D" w14:textId="31C08CA6" w:rsidR="000E3D84" w:rsidRDefault="000E3D84" w:rsidP="0086220A">
      <w:pPr>
        <w:pBdr>
          <w:top w:val="single" w:sz="4" w:space="0" w:color="000000"/>
          <w:bottom w:val="single" w:sz="4" w:space="0" w:color="000000"/>
        </w:pBdr>
        <w:shd w:val="clear" w:color="auto" w:fill="D9D9D9"/>
        <w:spacing w:after="0" w:line="240" w:lineRule="auto"/>
        <w:ind w:left="302" w:right="64" w:firstLine="0"/>
        <w:rPr>
          <w:rFonts w:asciiTheme="majorBidi" w:hAnsiTheme="majorBidi" w:cstheme="majorBidi"/>
        </w:rPr>
      </w:pPr>
    </w:p>
    <w:p w14:paraId="33D1DBBE" w14:textId="77777777" w:rsidR="000E3D84" w:rsidRPr="0086220A" w:rsidRDefault="000E3D84" w:rsidP="0086220A">
      <w:pPr>
        <w:pBdr>
          <w:top w:val="single" w:sz="4" w:space="0" w:color="000000"/>
          <w:bottom w:val="single" w:sz="4" w:space="0" w:color="000000"/>
        </w:pBdr>
        <w:shd w:val="clear" w:color="auto" w:fill="D9D9D9"/>
        <w:spacing w:after="0" w:line="240" w:lineRule="auto"/>
        <w:ind w:left="302" w:right="64" w:firstLine="0"/>
        <w:rPr>
          <w:rFonts w:asciiTheme="majorBidi" w:hAnsiTheme="majorBidi" w:cstheme="majorBidi"/>
        </w:rPr>
      </w:pPr>
    </w:p>
    <w:p w14:paraId="1D3FBDAE" w14:textId="4E5CFB03" w:rsidR="00DE1C65" w:rsidRPr="0086220A" w:rsidRDefault="0086220A" w:rsidP="0086220A">
      <w:pPr>
        <w:tabs>
          <w:tab w:val="right" w:pos="9748"/>
        </w:tabs>
        <w:spacing w:after="0" w:line="259" w:lineRule="auto"/>
        <w:ind w:left="270" w:right="68" w:hanging="270"/>
        <w:jc w:val="left"/>
        <w:rPr>
          <w:rFonts w:asciiTheme="majorBidi" w:hAnsiTheme="majorBidi" w:cstheme="majorBidi"/>
        </w:rPr>
      </w:pPr>
      <w:r w:rsidRPr="0086220A">
        <w:rPr>
          <w:rFonts w:asciiTheme="majorBidi" w:hAnsiTheme="majorBidi" w:cstheme="majorBidi"/>
          <w:b/>
          <w:color w:val="C45911"/>
        </w:rPr>
        <w:t xml:space="preserve">     Keyword:</w:t>
      </w:r>
      <w:r w:rsidRPr="0086220A">
        <w:rPr>
          <w:rFonts w:asciiTheme="majorBidi" w:hAnsiTheme="majorBidi" w:cstheme="majorBidi"/>
        </w:rPr>
        <w:t xml:space="preserve"> </w:t>
      </w:r>
      <w:r w:rsidR="006F4142" w:rsidRPr="008B239B">
        <w:t>Pakistan; Twenty-Seventh Amendment; civil-military relations; constitutionalized tutelage; military primacy</w:t>
      </w:r>
      <w:r w:rsidRPr="0086220A">
        <w:rPr>
          <w:rFonts w:asciiTheme="majorBidi" w:hAnsiTheme="majorBidi" w:cstheme="majorBidi"/>
        </w:rPr>
        <w:t xml:space="preserve"> </w:t>
      </w:r>
      <w:r w:rsidRPr="0086220A">
        <w:rPr>
          <w:rFonts w:asciiTheme="majorBidi" w:eastAsia="Calibri" w:hAnsiTheme="majorBidi" w:cstheme="majorBidi"/>
          <w:noProof/>
          <w:sz w:val="22"/>
        </w:rPr>
        <mc:AlternateContent>
          <mc:Choice Requires="wpg">
            <w:drawing>
              <wp:inline distT="0" distB="0" distL="0" distR="0" wp14:anchorId="754E6B0C" wp14:editId="5C6DA890">
                <wp:extent cx="5313553" cy="6097"/>
                <wp:effectExtent l="0" t="0" r="0" b="0"/>
                <wp:docPr id="25843" name="Group 25843"/>
                <wp:cNvGraphicFramePr/>
                <a:graphic xmlns:a="http://schemas.openxmlformats.org/drawingml/2006/main">
                  <a:graphicData uri="http://schemas.microsoft.com/office/word/2010/wordprocessingGroup">
                    <wpg:wgp>
                      <wpg:cNvGrpSpPr/>
                      <wpg:grpSpPr>
                        <a:xfrm>
                          <a:off x="0" y="0"/>
                          <a:ext cx="5313553" cy="6097"/>
                          <a:chOff x="0" y="0"/>
                          <a:chExt cx="5313553" cy="6097"/>
                        </a:xfrm>
                      </wpg:grpSpPr>
                      <wps:wsp>
                        <wps:cNvPr id="30832" name="Shape 30832"/>
                        <wps:cNvSpPr/>
                        <wps:spPr>
                          <a:xfrm>
                            <a:off x="0" y="0"/>
                            <a:ext cx="5313553" cy="9144"/>
                          </a:xfrm>
                          <a:custGeom>
                            <a:avLst/>
                            <a:gdLst/>
                            <a:ahLst/>
                            <a:cxnLst/>
                            <a:rect l="0" t="0" r="0" b="0"/>
                            <a:pathLst>
                              <a:path w="5313553" h="9144">
                                <a:moveTo>
                                  <a:pt x="0" y="0"/>
                                </a:moveTo>
                                <a:lnTo>
                                  <a:pt x="5313553" y="0"/>
                                </a:lnTo>
                                <a:lnTo>
                                  <a:pt x="5313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43" style="width:418.39pt;height:0.480042pt;mso-position-horizontal-relative:char;mso-position-vertical-relative:line" coordsize="53135,60">
                <v:shape id="Shape 30833" style="position:absolute;width:53135;height:91;left:0;top:0;" coordsize="5313553,9144" path="m0,0l5313553,0l5313553,9144l0,9144l0,0">
                  <v:stroke weight="0pt" endcap="flat" joinstyle="miter" miterlimit="10" on="false" color="#000000" opacity="0"/>
                  <v:fill on="true" color="#000000"/>
                </v:shape>
              </v:group>
            </w:pict>
          </mc:Fallback>
        </mc:AlternateContent>
      </w:r>
    </w:p>
    <w:p w14:paraId="315C6F3D" w14:textId="77777777" w:rsidR="00DE1C65" w:rsidRPr="0086220A" w:rsidRDefault="002314B0">
      <w:pPr>
        <w:spacing w:after="736" w:line="248" w:lineRule="auto"/>
        <w:ind w:left="312" w:right="0"/>
        <w:jc w:val="left"/>
        <w:rPr>
          <w:rFonts w:asciiTheme="majorBidi" w:hAnsiTheme="majorBidi" w:cstheme="majorBidi"/>
        </w:rPr>
      </w:pPr>
      <w:r w:rsidRPr="0086220A">
        <w:rPr>
          <w:rFonts w:asciiTheme="majorBidi" w:hAnsiTheme="majorBidi" w:cstheme="majorBidi"/>
          <w:b/>
        </w:rPr>
        <w:t xml:space="preserve">Disclaimer : </w:t>
      </w:r>
      <w:r w:rsidRPr="0086220A">
        <w:rPr>
          <w:rFonts w:asciiTheme="majorBidi" w:hAnsiTheme="majorBidi" w:cstheme="majorBidi"/>
        </w:rPr>
        <w:t>The views presented in this research are solely the personal views of the author and the organization where the author is working has no responsibility of any comment/opinion of the research or claim on it.</w:t>
      </w:r>
      <w:r w:rsidRPr="0086220A">
        <w:rPr>
          <w:rFonts w:asciiTheme="majorBidi" w:hAnsiTheme="majorBidi" w:cstheme="majorBidi"/>
          <w:b/>
        </w:rPr>
        <w:t xml:space="preserve"> </w:t>
      </w:r>
    </w:p>
    <w:p w14:paraId="070EBC1C" w14:textId="77777777" w:rsidR="00825E45" w:rsidRDefault="00825E45" w:rsidP="00825E45">
      <w:pPr>
        <w:spacing w:after="0" w:line="259" w:lineRule="auto"/>
        <w:ind w:left="0" w:right="0" w:firstLine="0"/>
        <w:rPr>
          <w:rFonts w:asciiTheme="majorBidi" w:hAnsiTheme="majorBidi" w:cstheme="majorBidi"/>
        </w:rPr>
      </w:pPr>
    </w:p>
    <w:p w14:paraId="30A2BFD3" w14:textId="77777777" w:rsidR="00D303C7" w:rsidRDefault="00D303C7" w:rsidP="00474C82">
      <w:pPr>
        <w:spacing w:line="360" w:lineRule="auto"/>
        <w:rPr>
          <w:rFonts w:asciiTheme="majorBidi" w:eastAsia="Calibri" w:hAnsiTheme="majorBidi" w:cstheme="majorBidi"/>
          <w:sz w:val="22"/>
        </w:rPr>
      </w:pPr>
    </w:p>
    <w:p w14:paraId="6C3E3E4E" w14:textId="77777777" w:rsidR="00D303C7" w:rsidRDefault="00D303C7" w:rsidP="00474C82">
      <w:pPr>
        <w:spacing w:line="360" w:lineRule="auto"/>
        <w:rPr>
          <w:rFonts w:asciiTheme="majorBidi" w:eastAsia="Calibri" w:hAnsiTheme="majorBidi" w:cstheme="majorBidi"/>
          <w:sz w:val="22"/>
        </w:rPr>
      </w:pPr>
    </w:p>
    <w:p w14:paraId="1FE9F557" w14:textId="6EA5DDE3" w:rsidR="00FA4FC3" w:rsidRPr="00474C82" w:rsidRDefault="002314B0" w:rsidP="00474C82">
      <w:pPr>
        <w:spacing w:line="360" w:lineRule="auto"/>
        <w:rPr>
          <w:b/>
        </w:rPr>
      </w:pPr>
      <w:r w:rsidRPr="0086220A">
        <w:rPr>
          <w:rFonts w:asciiTheme="majorBidi" w:eastAsia="Calibri" w:hAnsiTheme="majorBidi" w:cstheme="majorBidi"/>
          <w:sz w:val="22"/>
        </w:rPr>
        <w:lastRenderedPageBreak/>
        <w:t xml:space="preserve"> </w:t>
      </w:r>
      <w:r w:rsidR="00825E45" w:rsidRPr="000B2931">
        <w:rPr>
          <w:b/>
        </w:rPr>
        <w:t>INTRODUCTIO</w:t>
      </w:r>
      <w:r w:rsidR="00474C82">
        <w:rPr>
          <w:b/>
        </w:rPr>
        <w:t>N</w:t>
      </w:r>
    </w:p>
    <w:p w14:paraId="6D75D5D5" w14:textId="77777777" w:rsidR="00FA4FC3" w:rsidRPr="005E056F" w:rsidRDefault="00FA4FC3" w:rsidP="00474C82">
      <w:pPr>
        <w:pStyle w:val="Heading1"/>
        <w:jc w:val="both"/>
        <w:rPr>
          <w:b w:val="0"/>
          <w:bCs/>
          <w:color w:val="000000" w:themeColor="text1"/>
        </w:rPr>
      </w:pPr>
      <w:r w:rsidRPr="005E056F">
        <w:rPr>
          <w:b w:val="0"/>
          <w:color w:val="000000" w:themeColor="text1"/>
        </w:rPr>
        <w:lastRenderedPageBreak/>
        <w:t>Throughout the history of the constitution of Pakistan, there has been an enduring conflict between the formal civilian Government and the de-facto military influence on the national security, foreign policy and political succession. Elected institutions were restored but did not exert effective control over the military in civilian rule between the direct military takeovers, in 1958, 1977 and 1999. Scholarship, therefore, is not only the view of Pakistan as a democracy that doesn't experience coups but also as a political regime in which the military is able to adjust to the changing contours of its constitutional and electoral environment (Shah, 2014; Raza, 2023).</w:t>
      </w:r>
    </w:p>
    <w:p w14:paraId="5C99344E" w14:textId="77777777" w:rsidR="00FA4FC3" w:rsidRPr="005E056F" w:rsidRDefault="00FA4FC3" w:rsidP="00FA4FC3">
      <w:pPr>
        <w:pStyle w:val="Heading1"/>
        <w:jc w:val="both"/>
        <w:rPr>
          <w:b w:val="0"/>
          <w:bCs/>
          <w:color w:val="000000" w:themeColor="text1"/>
        </w:rPr>
      </w:pPr>
      <w:r w:rsidRPr="005E056F">
        <w:rPr>
          <w:b w:val="0"/>
          <w:color w:val="000000" w:themeColor="text1"/>
        </w:rPr>
        <w:t>It seemed the post-2008 was a boost to parliamentary government. The Eighteenth Amendment of 2010 introduced key elements of Parliament, curtailed the discretion of the President and increased the autonomy of provinces. But the military continued to be organized, to have strategic policy control, and had a good deal of independence from day-to-day civilian oversight. The term “hybrid regime” gained particular importance in 2018, as elections and parliaments were combined with significant military influence in political competition and policy-making in key areas. (Wolf, 2025) This system helped to maintain the appearance of representative government and to contain the extent of civilian control.</w:t>
      </w:r>
    </w:p>
    <w:p w14:paraId="7C786BC6" w14:textId="77777777" w:rsidR="00FA4FC3" w:rsidRPr="005E056F" w:rsidRDefault="00FA4FC3" w:rsidP="00FA4FC3">
      <w:pPr>
        <w:pStyle w:val="Heading1"/>
        <w:jc w:val="both"/>
        <w:rPr>
          <w:b w:val="0"/>
          <w:bCs/>
          <w:color w:val="000000" w:themeColor="text1"/>
        </w:rPr>
      </w:pPr>
      <w:r w:rsidRPr="005E056F">
        <w:rPr>
          <w:b w:val="0"/>
          <w:color w:val="000000" w:themeColor="text1"/>
        </w:rPr>
        <w:t>The Government of India made an amendment to this balance with the Twenty Seven amendment on 13 November 2025 without going through the constitutional process. It introduced the concept of CDF, which was concurrently held by the C-in-C; restructured the top military command; introduced constitutionality on the lifetime of five star officers and introduced and gave major powers to an FCC to interpret the constitution and dispose of fundamental rights cases. These changes were touted as steps toward institutional harmony, judicial specialisation, and defence modernisation by the government, while opposition parties, the legal profession and human rights groups insisted they were a rebuke to judicial independence and a centralisation of executive and military control (Malik, 2025; Amnesty International, 2026).</w:t>
      </w:r>
    </w:p>
    <w:p w14:paraId="32CB8A29" w14:textId="77777777" w:rsidR="00FA4FC3" w:rsidRPr="005E056F" w:rsidRDefault="00FA4FC3" w:rsidP="00FA4FC3">
      <w:pPr>
        <w:pStyle w:val="Heading1"/>
        <w:jc w:val="both"/>
        <w:rPr>
          <w:b w:val="0"/>
          <w:bCs/>
          <w:color w:val="000000" w:themeColor="text1"/>
        </w:rPr>
      </w:pPr>
      <w:r w:rsidRPr="005E056F">
        <w:rPr>
          <w:b w:val="0"/>
          <w:color w:val="000000" w:themeColor="text1"/>
        </w:rPr>
        <w:t>This article proposes that the amendment can be best understood as a shift from military tutelage mainly based on informal power to ‘constitutionalized tutelage’. It is employed in this article not as a legal decision or a constitutional classification, but rather as a methodical tool for the study of the constitutional law of Belgium.In this article it is employed as a methodical tool for analysing the constitutional law of Belgium, and not as a judicial finding or as a constitutional category. It refers to a system that involves the continued existence of civilian elected institutions that are constitutionally designed to give the military leadership significant command advantages and immunities from normal accountability. The article uses regime theory, the civil-military scholarship and constitutional analysis to assess the impact of the amendment on the balance of power between Parliament, executive, judiciary and the armed forces.</w:t>
      </w:r>
    </w:p>
    <w:p w14:paraId="45800ADB" w14:textId="77777777" w:rsidR="00FA4FC3" w:rsidRPr="005E056F" w:rsidRDefault="00FA4FC3" w:rsidP="00FA4FC3">
      <w:pPr>
        <w:pStyle w:val="Heading1"/>
        <w:jc w:val="both"/>
        <w:rPr>
          <w:b w:val="0"/>
          <w:bCs/>
          <w:color w:val="000000" w:themeColor="text1"/>
        </w:rPr>
      </w:pPr>
      <w:r w:rsidRPr="005E056F">
        <w:rPr>
          <w:b w:val="0"/>
          <w:color w:val="000000" w:themeColor="text1"/>
        </w:rPr>
        <w:t>2. Literature Review</w:t>
      </w:r>
    </w:p>
    <w:p w14:paraId="5C2D43BB" w14:textId="77777777" w:rsidR="00FA4FC3" w:rsidRPr="005E056F" w:rsidRDefault="00FA4FC3" w:rsidP="00FA4FC3">
      <w:pPr>
        <w:pStyle w:val="Heading1"/>
        <w:jc w:val="both"/>
        <w:rPr>
          <w:b w:val="0"/>
          <w:bCs/>
          <w:color w:val="000000" w:themeColor="text1"/>
        </w:rPr>
      </w:pPr>
      <w:r w:rsidRPr="005E056F">
        <w:rPr>
          <w:b w:val="0"/>
          <w:color w:val="000000" w:themeColor="text1"/>
        </w:rPr>
        <w:t>A political regime that contains elements both of democracy and of systems that render it largely intransparent to democratic accountability is called a hybrid regime by hybrid-regime theory. To Levitsky and Way (2002, 2010) a competitive authoritarian system is one where elections and other formal democratic institutions are the primary means to political power, but the rules are routinely flouted in ways that render the contest unsuitable for democracy. The framework is also helpful in the context of Pakistan as it takes the debate off the dichotomy of democracy versus dictatorship and focuses on the unequal institutional landscape in which elections, parties and courts function.</w:t>
      </w:r>
    </w:p>
    <w:p w14:paraId="4F8C4469" w14:textId="77777777" w:rsidR="00FA4FC3" w:rsidRPr="005E056F" w:rsidRDefault="00FA4FC3" w:rsidP="00FA4FC3">
      <w:pPr>
        <w:pStyle w:val="Heading1"/>
        <w:jc w:val="both"/>
        <w:rPr>
          <w:b w:val="0"/>
          <w:bCs/>
          <w:color w:val="000000" w:themeColor="text1"/>
        </w:rPr>
      </w:pPr>
      <w:r w:rsidRPr="005E056F">
        <w:rPr>
          <w:b w:val="0"/>
          <w:color w:val="000000" w:themeColor="text1"/>
        </w:rPr>
        <w:lastRenderedPageBreak/>
        <w:t>The second foundation is the civil-military theory. Huntington (1957) equates stable civilian control with a civilian-controlled, professional army working under strong civilian control. In contrast, Finer (1962) highlights the military's inclination and opportunity for intervention in the absence of civilian authority or authority-building capacity. Janowitz (1960) demonstrates that modern armies often have increasingly more political and social roles, and that the distinction between military and civilian life is not always clear. In Pakistan this demarcation is further blurred by the military's corporate interests, administration and its long-term involvement in the decision-making process of national security affairs (Siddiqa, 2017).</w:t>
      </w:r>
    </w:p>
    <w:p w14:paraId="53294410" w14:textId="77777777" w:rsidR="00FA4FC3" w:rsidRPr="005E056F" w:rsidRDefault="00FA4FC3" w:rsidP="00FA4FC3">
      <w:pPr>
        <w:pStyle w:val="Heading1"/>
        <w:jc w:val="both"/>
        <w:rPr>
          <w:b w:val="0"/>
          <w:bCs/>
          <w:color w:val="000000" w:themeColor="text1"/>
        </w:rPr>
      </w:pPr>
      <w:r w:rsidRPr="005E056F">
        <w:rPr>
          <w:b w:val="0"/>
          <w:color w:val="000000" w:themeColor="text1"/>
        </w:rPr>
        <w:t>The term tutelage is not just something episodic as Pakistan-specific scholarship indicates. As Shah (2014) has explained, an institutionally embedded set of interests and norms was created as a result of the multi-generational nature of military rule. Raza (2023) describes Pakistan's democratic shift as a process that has been ‘frozen' due to the lack of a coherent and strong party system and the presence of a hybrid political system. This is also a reconstitution of hybrid rule, as Wolf (2025) understands it. These studies demonstrate that two forms of military predominance can operate without martial law: electoral management, the establishment of elite bargaining mechanisms, and the use of legal means and selective coercion.</w:t>
      </w:r>
    </w:p>
    <w:p w14:paraId="7125046F" w14:textId="77777777" w:rsidR="00FA4FC3" w:rsidRPr="005E056F" w:rsidRDefault="00FA4FC3" w:rsidP="00FA4FC3">
      <w:pPr>
        <w:pStyle w:val="Heading1"/>
        <w:jc w:val="both"/>
        <w:rPr>
          <w:b w:val="0"/>
          <w:bCs/>
          <w:color w:val="000000" w:themeColor="text1"/>
        </w:rPr>
      </w:pPr>
      <w:r w:rsidRPr="005E056F">
        <w:rPr>
          <w:b w:val="0"/>
          <w:color w:val="000000" w:themeColor="text1"/>
        </w:rPr>
        <w:t>The current studies however, have largely focused on the informal or extra-constitutional nature of military tutelage in the background of elected governments. The question of what happens when central parts of this hierarchy get enshrined in the Constitution is a new one that the Twenty-Seventh Amendment poses. In recent assessments of law and institutions, three related effects are highlighted. Firstly, the army chief's concurrent office creates centralization of power within the armed forces. Second, five-star ranks have constitutional status and protection which limits ordinary accountability. Third, by limiting the Supreme Court's constitutional authority and adding political influence to how the new Supreme Court is built, the FCC and the new judicial architecture diminish the former court's constitutional role (Shaikh, 2025; International Commission of Jurists, 2025; Malik, 2025).</w:t>
      </w:r>
    </w:p>
    <w:p w14:paraId="3428025F" w14:textId="77777777" w:rsidR="00FA4FC3" w:rsidRPr="005E056F" w:rsidRDefault="00FA4FC3" w:rsidP="00FA4FC3">
      <w:pPr>
        <w:pStyle w:val="Heading1"/>
        <w:jc w:val="both"/>
        <w:rPr>
          <w:b w:val="0"/>
          <w:bCs/>
          <w:color w:val="000000" w:themeColor="text1"/>
        </w:rPr>
      </w:pPr>
      <w:r w:rsidRPr="005E056F">
        <w:rPr>
          <w:b w:val="0"/>
          <w:color w:val="000000" w:themeColor="text1"/>
        </w:rPr>
        <w:t>This article attempts to fill this gap by the concept of constitutionalized tutelage. This model is not characterized by the suspension of the Constitution, as would be the case in a direct military rule. Unlike traditional hybrid rule, it is not based solely on informal pressure or on-going intervention. Rather, constitutional provisions keep the civil-military relationship unequal, and leave elections and civilian government in place. This idea relates the hybrid-regime scholarship to constitutional design by illustrating how the consolidation of the authority can take place in apparently constitutional ways.</w:t>
      </w:r>
    </w:p>
    <w:p w14:paraId="7DEFCDA6" w14:textId="77777777" w:rsidR="00FA4FC3" w:rsidRPr="005E056F" w:rsidRDefault="00FA4FC3" w:rsidP="00FA4FC3">
      <w:pPr>
        <w:pStyle w:val="Heading1"/>
        <w:jc w:val="both"/>
        <w:rPr>
          <w:b w:val="0"/>
          <w:bCs/>
          <w:color w:val="000000" w:themeColor="text1"/>
        </w:rPr>
      </w:pPr>
      <w:r w:rsidRPr="005E056F">
        <w:rPr>
          <w:b w:val="0"/>
          <w:color w:val="000000" w:themeColor="text1"/>
        </w:rPr>
        <w:t>3. Research Objectives</w:t>
      </w:r>
    </w:p>
    <w:p w14:paraId="73B16305" w14:textId="77777777" w:rsidR="00FA4FC3" w:rsidRPr="005E056F" w:rsidRDefault="00FA4FC3" w:rsidP="00FA4FC3">
      <w:pPr>
        <w:pStyle w:val="Heading1"/>
        <w:jc w:val="both"/>
        <w:rPr>
          <w:b w:val="0"/>
          <w:bCs/>
          <w:color w:val="000000" w:themeColor="text1"/>
        </w:rPr>
      </w:pPr>
      <w:r w:rsidRPr="005E056F">
        <w:rPr>
          <w:b w:val="0"/>
          <w:color w:val="000000" w:themeColor="text1"/>
        </w:rPr>
        <w:t>To analyze the effect of the Twenty-Seventh Amendment on the distribution of the constitutional powers between civilian executive, Parliament, Judiciary and military leadership in Pakistan.</w:t>
      </w:r>
    </w:p>
    <w:p w14:paraId="7730B19F" w14:textId="77777777" w:rsidR="00FA4FC3" w:rsidRPr="005E056F" w:rsidRDefault="00FA4FC3" w:rsidP="00FA4FC3">
      <w:pPr>
        <w:pStyle w:val="Heading1"/>
        <w:jc w:val="both"/>
        <w:rPr>
          <w:b w:val="0"/>
          <w:bCs/>
          <w:color w:val="000000" w:themeColor="text1"/>
        </w:rPr>
      </w:pPr>
      <w:r w:rsidRPr="005E056F">
        <w:rPr>
          <w:b w:val="0"/>
          <w:color w:val="000000" w:themeColor="text1"/>
        </w:rPr>
        <w:t>To determine whether the amendment shifts Pakistan's model of "hybrid civil-military system" into a more formalized and institutionalized "constitutionalized military tutelage".</w:t>
      </w:r>
    </w:p>
    <w:p w14:paraId="221B15E0" w14:textId="77777777" w:rsidR="00FA4FC3" w:rsidRPr="005E056F" w:rsidRDefault="00FA4FC3" w:rsidP="00FA4FC3">
      <w:pPr>
        <w:pStyle w:val="Heading1"/>
        <w:jc w:val="both"/>
        <w:rPr>
          <w:b w:val="0"/>
          <w:bCs/>
          <w:color w:val="000000" w:themeColor="text1"/>
        </w:rPr>
      </w:pPr>
      <w:r w:rsidRPr="005E056F">
        <w:rPr>
          <w:b w:val="0"/>
          <w:color w:val="000000" w:themeColor="text1"/>
        </w:rPr>
        <w:t>4. Research Questions</w:t>
      </w:r>
    </w:p>
    <w:p w14:paraId="0423089F" w14:textId="77777777" w:rsidR="00FA4FC3" w:rsidRPr="005E056F" w:rsidRDefault="00FA4FC3" w:rsidP="00FA4FC3">
      <w:pPr>
        <w:pStyle w:val="Heading1"/>
        <w:jc w:val="both"/>
        <w:rPr>
          <w:b w:val="0"/>
          <w:bCs/>
          <w:color w:val="000000" w:themeColor="text1"/>
        </w:rPr>
      </w:pPr>
      <w:r w:rsidRPr="005E056F">
        <w:rPr>
          <w:b w:val="0"/>
          <w:color w:val="000000" w:themeColor="text1"/>
        </w:rPr>
        <w:t>How are the provisions of the Twenty-Seventh Amendment in respect of defence-command, immunity and judicial provisions, impacting civilian oversight and institutional accountability in Pakistan?</w:t>
      </w:r>
    </w:p>
    <w:p w14:paraId="4F0E71DC" w14:textId="77777777" w:rsidR="00FA4FC3" w:rsidRPr="005E056F" w:rsidRDefault="00FA4FC3" w:rsidP="00FA4FC3">
      <w:pPr>
        <w:pStyle w:val="Heading1"/>
        <w:jc w:val="both"/>
        <w:rPr>
          <w:b w:val="0"/>
          <w:bCs/>
          <w:color w:val="000000" w:themeColor="text1"/>
        </w:rPr>
      </w:pPr>
      <w:r w:rsidRPr="005E056F">
        <w:rPr>
          <w:b w:val="0"/>
          <w:color w:val="000000" w:themeColor="text1"/>
        </w:rPr>
        <w:t>How much of a constitutional tutelage is the post-amendment political order, compared to the traditional "hybrid" one?</w:t>
      </w:r>
    </w:p>
    <w:p w14:paraId="7832E44D" w14:textId="77777777" w:rsidR="00FA4FC3" w:rsidRPr="005E056F" w:rsidRDefault="00FA4FC3" w:rsidP="00FA4FC3">
      <w:pPr>
        <w:pStyle w:val="Heading1"/>
        <w:jc w:val="both"/>
        <w:rPr>
          <w:b w:val="0"/>
          <w:bCs/>
          <w:color w:val="000000" w:themeColor="text1"/>
        </w:rPr>
      </w:pPr>
      <w:r w:rsidRPr="005E056F">
        <w:rPr>
          <w:b w:val="0"/>
          <w:color w:val="000000" w:themeColor="text1"/>
        </w:rPr>
        <w:t>5. Conceptual Framework</w:t>
      </w:r>
    </w:p>
    <w:p w14:paraId="536D66F1" w14:textId="77777777" w:rsidR="00FA4FC3" w:rsidRPr="005E056F" w:rsidRDefault="00FA4FC3" w:rsidP="00FA4FC3">
      <w:pPr>
        <w:pStyle w:val="Heading1"/>
        <w:jc w:val="both"/>
        <w:rPr>
          <w:b w:val="0"/>
          <w:bCs/>
          <w:color w:val="000000" w:themeColor="text1"/>
        </w:rPr>
      </w:pPr>
      <w:r w:rsidRPr="005E056F">
        <w:rPr>
          <w:b w:val="0"/>
          <w:color w:val="000000" w:themeColor="text1"/>
        </w:rPr>
        <w:lastRenderedPageBreak/>
        <w:t>The conceptual frame works on the premise that the Twenty-Seventh Amendment is the core mechanism of change and that the suggested result of the constitutionalization is tutelage. They are tied together through three mechanisms: command centralization, insulation of accountability and structuring of judicial functions. They are measured in the context of two indicators of democratic control, effective civilian oversight and enforceable institutional checks. The military's organizational power, the lack of oversight over the defence sector by parliament, the fragmentation of parliament, and past hybridization, are all contextual factors and do not automatically cause it.</w:t>
      </w:r>
    </w:p>
    <w:p w14:paraId="271306E4" w14:textId="77777777" w:rsidR="00FA4FC3" w:rsidRPr="005E056F" w:rsidRDefault="00FA4FC3" w:rsidP="00FA4FC3">
      <w:pPr>
        <w:pStyle w:val="Heading1"/>
        <w:jc w:val="both"/>
        <w:rPr>
          <w:b w:val="0"/>
          <w:bCs/>
          <w:color w:val="000000" w:themeColor="text1"/>
        </w:rPr>
      </w:pPr>
      <w:r w:rsidRPr="005E056F">
        <w:rPr>
          <w:b w:val="0"/>
          <w:color w:val="000000" w:themeColor="text1"/>
        </w:rPr>
        <w:t>Centralization of command means that the army chief concurrently held the CDF post, which meant that he exercised primacy in the tri-service coordination. Accountability insulation is being insulated against accountability during lifetime, privileges and immunity for five star officers and a challenging route through parliament for removal. Judicial restructuring is about the FCC's constitutional authority, transferring cases and the political process in forming the new court. If these processes work together to diminish civilian control and to diminish independent review, then there is a case for a constitutionalized tutelage. This concept would not have the same explanatory power if implementation guaranteed meaningful parliamentary direction, inter-service balance and independent adjudication.</w:t>
      </w:r>
    </w:p>
    <w:p w14:paraId="1FFC1C6A" w14:textId="77777777" w:rsidR="00FA4FC3" w:rsidRPr="005E056F" w:rsidRDefault="00FA4FC3" w:rsidP="00FA4FC3">
      <w:pPr>
        <w:pStyle w:val="Heading1"/>
        <w:jc w:val="both"/>
        <w:rPr>
          <w:b w:val="0"/>
          <w:bCs/>
          <w:color w:val="000000" w:themeColor="text1"/>
        </w:rPr>
      </w:pPr>
      <w:r w:rsidRPr="005E056F">
        <w:rPr>
          <w:b w:val="0"/>
          <w:color w:val="000000" w:themeColor="text1"/>
        </w:rPr>
        <w:t>It is, in part, the framework's refusal to take such a step as an assumption that, of course, political results do not follow from constitutional text. Formal rules are enacted via institutions, officeholders and political competition. The support for ‘constitutionalized tutelage' is only found when constitutional entrenchment and the (observed) power relations go in the same direction.</w:t>
      </w:r>
    </w:p>
    <w:p w14:paraId="25DAE234" w14:textId="77777777" w:rsidR="00FA4FC3" w:rsidRPr="005E056F" w:rsidRDefault="00FA4FC3" w:rsidP="00FA4FC3">
      <w:pPr>
        <w:pStyle w:val="Heading1"/>
        <w:jc w:val="both"/>
        <w:rPr>
          <w:b w:val="0"/>
          <w:bCs/>
          <w:color w:val="000000" w:themeColor="text1"/>
        </w:rPr>
      </w:pPr>
      <w:r w:rsidRPr="005E056F">
        <w:rPr>
          <w:b w:val="0"/>
          <w:color w:val="000000" w:themeColor="text1"/>
        </w:rPr>
        <w:t>6. Analysis</w:t>
      </w:r>
    </w:p>
    <w:p w14:paraId="5924BA9B" w14:textId="77777777" w:rsidR="00FA4FC3" w:rsidRPr="005E056F" w:rsidRDefault="00FA4FC3" w:rsidP="00FA4FC3">
      <w:pPr>
        <w:pStyle w:val="Heading1"/>
        <w:jc w:val="both"/>
        <w:rPr>
          <w:b w:val="0"/>
          <w:bCs/>
          <w:color w:val="000000" w:themeColor="text1"/>
        </w:rPr>
      </w:pPr>
      <w:r w:rsidRPr="005E056F">
        <w:rPr>
          <w:b w:val="0"/>
          <w:color w:val="000000" w:themeColor="text1"/>
        </w:rPr>
        <w:t>6.1 Constitutional &amp; Analytical Approach</w:t>
      </w:r>
    </w:p>
    <w:p w14:paraId="7117C4B7" w14:textId="77777777" w:rsidR="00FA4FC3" w:rsidRPr="005E056F" w:rsidRDefault="00FA4FC3" w:rsidP="00FA4FC3">
      <w:pPr>
        <w:pStyle w:val="Heading1"/>
        <w:jc w:val="both"/>
        <w:rPr>
          <w:b w:val="0"/>
          <w:bCs/>
          <w:color w:val="000000" w:themeColor="text1"/>
        </w:rPr>
      </w:pPr>
      <w:r w:rsidRPr="005E056F">
        <w:rPr>
          <w:b w:val="0"/>
          <w:color w:val="000000" w:themeColor="text1"/>
        </w:rPr>
        <w:t>The analysis is conducted by qualitative constitutional-text analysis, history-informed process tracing. It highlights the institutional changes in the amendment and assesses the possible effects on accountability that are likely to follow the pre-2025 pattern of civil-military relations. Primary legal rules are distinguished from interpretations provided by scholars, journalists and advocacy groups. This is because the establishment of a new office or jurisdiction is a legally verifiable fact, whereas the nature of the regime that is created is an evidence-based interpretation, not necessarily one that is currently the dominant one.</w:t>
      </w:r>
    </w:p>
    <w:p w14:paraId="37E29CB6" w14:textId="77777777" w:rsidR="00FA4FC3" w:rsidRPr="005E056F" w:rsidRDefault="00FA4FC3" w:rsidP="00FA4FC3">
      <w:pPr>
        <w:pStyle w:val="Heading1"/>
        <w:jc w:val="both"/>
        <w:rPr>
          <w:b w:val="0"/>
          <w:bCs/>
          <w:color w:val="000000" w:themeColor="text1"/>
        </w:rPr>
      </w:pPr>
      <w:r w:rsidRPr="005E056F">
        <w:rPr>
          <w:b w:val="0"/>
          <w:color w:val="000000" w:themeColor="text1"/>
        </w:rPr>
        <w:t>6.2 Centralisation of the Defence Command</w:t>
      </w:r>
    </w:p>
    <w:p w14:paraId="0BA2D241" w14:textId="77777777" w:rsidR="00FA4FC3" w:rsidRPr="005E056F" w:rsidRDefault="00FA4FC3" w:rsidP="00FA4FC3">
      <w:pPr>
        <w:pStyle w:val="Heading1"/>
        <w:jc w:val="both"/>
        <w:rPr>
          <w:b w:val="0"/>
          <w:bCs/>
          <w:color w:val="000000" w:themeColor="text1"/>
        </w:rPr>
      </w:pPr>
      <w:r w:rsidRPr="005E056F">
        <w:rPr>
          <w:b w:val="0"/>
          <w:color w:val="000000" w:themeColor="text1"/>
        </w:rPr>
        <w:t>The amended Article 243 establishes the CDF and prescribes that the Chief of the Army Staff will be the holder of the office as well. The reorganization includes army chief to be the commander of the navy and air force, and eliminates the erstwhile Chairman Joint Chiefs of Staff Committee. According to Reuters, the office provides the army chief command over all the military wings, whereas Chatham House has opined that it ensures unprecedented supremacy over the other service chiefs (Shaikh, 2025; Shahid, 2025).</w:t>
      </w:r>
    </w:p>
    <w:p w14:paraId="0068BCD1" w14:textId="77777777" w:rsidR="00FA4FC3" w:rsidRPr="005E056F" w:rsidRDefault="00FA4FC3" w:rsidP="00FA4FC3">
      <w:pPr>
        <w:pStyle w:val="Heading1"/>
        <w:jc w:val="both"/>
        <w:rPr>
          <w:b w:val="0"/>
          <w:bCs/>
          <w:color w:val="000000" w:themeColor="text1"/>
        </w:rPr>
      </w:pPr>
      <w:r w:rsidRPr="005E056F">
        <w:rPr>
          <w:b w:val="0"/>
          <w:color w:val="000000" w:themeColor="text1"/>
        </w:rPr>
        <w:t>In a civilian-control context, unified command is not necessarily undemocratic as many democratic states use joint command. The key question will be whether unified command will still be firmly under civilian control and be held to clear standards of accountability, including for budget and removal, and be clearly subject to civilian appointment. Historically the army has been the strongest player in Pakistan's politics, and having all the three services' powers in one single man's hands gives a boost to its power in the institutional arena. The reform is not about a level playing field in the armed forces, however, but about enshrining army primacy in the constitution and empowering the leader of the armed forces relative to civilian officeholders.</w:t>
      </w:r>
    </w:p>
    <w:p w14:paraId="4D20500D" w14:textId="77777777" w:rsidR="00FA4FC3" w:rsidRDefault="00FA4FC3" w:rsidP="00FA4FC3">
      <w:pPr>
        <w:pStyle w:val="Heading1"/>
        <w:jc w:val="both"/>
        <w:rPr>
          <w:b w:val="0"/>
          <w:bCs/>
          <w:color w:val="000000" w:themeColor="text1"/>
        </w:rPr>
      </w:pPr>
      <w:r w:rsidRPr="00F745CE">
        <w:rPr>
          <w:b w:val="0"/>
          <w:color w:val="000000" w:themeColor="text1"/>
        </w:rPr>
        <w:t>6.3 Lifetime Status, Immunity and Accountability</w:t>
      </w:r>
    </w:p>
    <w:p w14:paraId="6BABF06B" w14:textId="77777777" w:rsidR="00FA4FC3" w:rsidRPr="005E056F" w:rsidRDefault="00FA4FC3" w:rsidP="00FA4FC3">
      <w:pPr>
        <w:pStyle w:val="Heading1"/>
        <w:jc w:val="both"/>
        <w:rPr>
          <w:b w:val="0"/>
          <w:bCs/>
          <w:color w:val="000000" w:themeColor="text1"/>
        </w:rPr>
      </w:pPr>
      <w:r w:rsidRPr="005E056F">
        <w:rPr>
          <w:b w:val="0"/>
          <w:color w:val="000000" w:themeColor="text1"/>
        </w:rPr>
        <w:lastRenderedPageBreak/>
        <w:t>The amendment grants life tenure, rank and uniform to officers until they attain the 5-star rank of Field Marshal, Marshal of the Air Force or Admiral of the Fleet. It also provides a wide range of life-time protection against arrest and criminal and civil proceedings. These were particularly important as Field Marshal Asim Munir was the direct benefactor of these, being the immediate officeholder, who was promoted in May 2025. The new scheme also introduces a very high parliamentary hurdle for the removal of the prime minister, quite different from the majority rule procedure used to remove the prime minister (Shaikh, 2025).</w:t>
      </w:r>
    </w:p>
    <w:p w14:paraId="3E331E1A" w14:textId="77777777" w:rsidR="00FA4FC3" w:rsidRPr="005E056F" w:rsidRDefault="00FA4FC3" w:rsidP="00FA4FC3">
      <w:pPr>
        <w:pStyle w:val="Heading1"/>
        <w:jc w:val="both"/>
        <w:rPr>
          <w:b w:val="0"/>
          <w:bCs/>
          <w:color w:val="000000" w:themeColor="text1"/>
        </w:rPr>
      </w:pPr>
      <w:r w:rsidRPr="005E056F">
        <w:rPr>
          <w:b w:val="0"/>
          <w:color w:val="000000" w:themeColor="text1"/>
        </w:rPr>
        <w:t>Functionally limited, temporally bounded and coupled with alternative accountability, immunity can protect institutional independence. Lifetime immunity is a different case since it distinguishes between the legal and the performance of official duties, and extends beyond the period of active service. This diminishes the possibility of looking back and holding officials responsible for their actions and can dissuade civilian institutions from interviewing decisions taken during the period of office. Amnesty International (2026) and the International Commission of Jurists (2025) therefore see the provisions as granting impunity which is not compatible with judicial independence and the rule of law. The constitutional impact is a hierarchy of accountability, with the highest power being better protected than elected power.</w:t>
      </w:r>
    </w:p>
    <w:p w14:paraId="4A168E35" w14:textId="77777777" w:rsidR="00FA4FC3" w:rsidRPr="005E056F" w:rsidRDefault="00FA4FC3" w:rsidP="00FA4FC3">
      <w:pPr>
        <w:pStyle w:val="Heading1"/>
        <w:jc w:val="both"/>
        <w:rPr>
          <w:b w:val="0"/>
          <w:bCs/>
          <w:color w:val="000000" w:themeColor="text1"/>
        </w:rPr>
      </w:pPr>
      <w:r w:rsidRPr="005E056F">
        <w:rPr>
          <w:b w:val="0"/>
          <w:color w:val="000000" w:themeColor="text1"/>
        </w:rPr>
        <w:t>6.4</w:t>
      </w:r>
      <w:r>
        <w:rPr>
          <w:b w:val="0"/>
          <w:color w:val="000000" w:themeColor="text1"/>
        </w:rPr>
        <w:t xml:space="preserve">. </w:t>
      </w:r>
      <w:r w:rsidRPr="005E056F">
        <w:rPr>
          <w:b w:val="0"/>
          <w:color w:val="000000" w:themeColor="text1"/>
        </w:rPr>
        <w:t xml:space="preserve">Judicial restructuring and constitutional review </w:t>
      </w:r>
    </w:p>
    <w:p w14:paraId="5E5A5B06" w14:textId="77777777" w:rsidR="00FA4FC3" w:rsidRPr="005E056F" w:rsidRDefault="00FA4FC3" w:rsidP="00FA4FC3">
      <w:pPr>
        <w:pStyle w:val="Heading1"/>
        <w:jc w:val="both"/>
        <w:rPr>
          <w:b w:val="0"/>
          <w:bCs/>
          <w:color w:val="000000" w:themeColor="text1"/>
        </w:rPr>
      </w:pPr>
      <w:r w:rsidRPr="005E056F">
        <w:rPr>
          <w:b w:val="0"/>
          <w:color w:val="000000" w:themeColor="text1"/>
        </w:rPr>
        <w:t>The amendment establishes the FCC, which will have the central responsibility for constitutional interpretation, disputes between the federal and provincial governments, and the enforcement of fundamental rights and appeals for constitutional qualification. These other courts send over pending cases that are under its jurisdiction. In theory, specialization can enhance the coherence and decrease the burden of the Supreme Court. The government used this efficiency argument and it was quite a modernizing of institutions it presented the new court as.</w:t>
      </w:r>
    </w:p>
    <w:p w14:paraId="4B62D1DE" w14:textId="77777777" w:rsidR="00FA4FC3" w:rsidRPr="005E056F" w:rsidRDefault="00FA4FC3" w:rsidP="00FA4FC3">
      <w:pPr>
        <w:pStyle w:val="Heading1"/>
        <w:jc w:val="both"/>
        <w:rPr>
          <w:b w:val="0"/>
          <w:bCs/>
          <w:color w:val="000000" w:themeColor="text1"/>
        </w:rPr>
      </w:pPr>
      <w:r w:rsidRPr="005E056F">
        <w:rPr>
          <w:b w:val="0"/>
          <w:color w:val="000000" w:themeColor="text1"/>
        </w:rPr>
        <w:t>The democratic concern is a component of institutional design and timing. The President appoints the first chief justice and judges on the advice of the Prime Minister and subsequently through a Judicial Commission that has a composition that allows for a strong influence of political actors. The amendment was also passed quickly, and with little opposition, and immediately curtailed the authority of an existing Supreme Court that was able to review executive action. ConstitutionNet points out that the first cohort could set the tone of the court, however they are chosen without any clear procedure (Malik, 2025). So, it is not the constitutional court itself that one should object to, but whether this constitutional court is independent enough to be able to review the very institutions that it is a creation of.</w:t>
      </w:r>
    </w:p>
    <w:p w14:paraId="2919FF93" w14:textId="77777777" w:rsidR="00FA4FC3" w:rsidRPr="005E056F" w:rsidRDefault="00FA4FC3" w:rsidP="00FA4FC3">
      <w:pPr>
        <w:pStyle w:val="Heading1"/>
        <w:jc w:val="both"/>
        <w:rPr>
          <w:b w:val="0"/>
          <w:bCs/>
          <w:color w:val="000000" w:themeColor="text1"/>
        </w:rPr>
      </w:pPr>
      <w:r w:rsidRPr="005E056F">
        <w:rPr>
          <w:b w:val="0"/>
          <w:color w:val="000000" w:themeColor="text1"/>
        </w:rPr>
        <w:t>6.5 Informal Hybridism to Constitutionalized Tutelage</w:t>
      </w:r>
    </w:p>
    <w:p w14:paraId="656E80A5" w14:textId="77777777" w:rsidR="00FA4FC3" w:rsidRPr="005E056F" w:rsidRDefault="00FA4FC3" w:rsidP="00FA4FC3">
      <w:pPr>
        <w:pStyle w:val="Heading1"/>
        <w:jc w:val="both"/>
        <w:rPr>
          <w:b w:val="0"/>
          <w:bCs/>
          <w:color w:val="000000" w:themeColor="text1"/>
        </w:rPr>
      </w:pPr>
      <w:r w:rsidRPr="005E056F">
        <w:rPr>
          <w:b w:val="0"/>
          <w:color w:val="000000" w:themeColor="text1"/>
        </w:rPr>
        <w:t>Prior to 2025, the military typically served as an influence in specific policy sectors, political brokering, exercising pressure on media and political parties, and through informal vetoes. Those mechanisms worked — but they had to be repeated and institutional alignments and coercive capacities had to be established. The amendment alters the type of influence. The primacy of command, personal protection and a re-structured forum for constitutional adjudication now have constitutional justification.</w:t>
      </w:r>
    </w:p>
    <w:p w14:paraId="5B4A1667" w14:textId="77777777" w:rsidR="00FA4FC3" w:rsidRPr="005E056F" w:rsidRDefault="00FA4FC3" w:rsidP="00FA4FC3">
      <w:pPr>
        <w:pStyle w:val="Heading1"/>
        <w:jc w:val="both"/>
        <w:rPr>
          <w:b w:val="0"/>
          <w:bCs/>
          <w:color w:val="000000" w:themeColor="text1"/>
        </w:rPr>
      </w:pPr>
      <w:r w:rsidRPr="005E056F">
        <w:rPr>
          <w:b w:val="0"/>
          <w:color w:val="000000" w:themeColor="text1"/>
        </w:rPr>
        <w:t>This isn't the transformation of Pakistan into a traditional military dictatorship. There is still parliamentary life, political parties and provincial administration and civil service. The text of the constitution does not also give the military an official monopoly of the executive powers. The more accurate conclusion is that the amendment restricts the scope of “credible” discipline of military leadership by elected institutions and reduces the power of one of the few avenues of judicial challenge. Civilian government remains in place but is increasingly hampered in its operation by coercive and constitutional power. That is how it is possible to depict the new order emerging as "constitutionalized tutelage.</w:t>
      </w:r>
    </w:p>
    <w:p w14:paraId="444A4CCD" w14:textId="77777777" w:rsidR="00FA4FC3" w:rsidRPr="005E056F" w:rsidRDefault="00FA4FC3" w:rsidP="00FA4FC3">
      <w:pPr>
        <w:pStyle w:val="Heading1"/>
        <w:jc w:val="both"/>
        <w:rPr>
          <w:b w:val="0"/>
          <w:bCs/>
          <w:color w:val="000000" w:themeColor="text1"/>
        </w:rPr>
      </w:pPr>
      <w:r w:rsidRPr="005E056F">
        <w:rPr>
          <w:b w:val="0"/>
          <w:color w:val="000000" w:themeColor="text1"/>
        </w:rPr>
        <w:t>7. Results</w:t>
      </w:r>
    </w:p>
    <w:p w14:paraId="71713713" w14:textId="77777777" w:rsidR="00FA4FC3" w:rsidRDefault="00FA4FC3" w:rsidP="00FA4FC3">
      <w:pPr>
        <w:pStyle w:val="Heading1"/>
        <w:jc w:val="both"/>
        <w:rPr>
          <w:b w:val="0"/>
          <w:bCs/>
          <w:color w:val="000000" w:themeColor="text1"/>
        </w:rPr>
      </w:pPr>
      <w:r w:rsidRPr="005E056F">
        <w:rPr>
          <w:b w:val="0"/>
          <w:color w:val="000000" w:themeColor="text1"/>
        </w:rPr>
        <w:lastRenderedPageBreak/>
        <w:t>The analysis yields four main results</w:t>
      </w:r>
      <w:r>
        <w:rPr>
          <w:b w:val="0"/>
          <w:color w:val="000000" w:themeColor="text1"/>
        </w:rPr>
        <w:t xml:space="preserve">: </w:t>
      </w:r>
    </w:p>
    <w:p w14:paraId="1F5AD59B" w14:textId="77777777" w:rsidR="00FA4FC3" w:rsidRPr="005E056F" w:rsidRDefault="00FA4FC3" w:rsidP="00FA4FC3">
      <w:pPr>
        <w:pStyle w:val="Heading1"/>
        <w:jc w:val="both"/>
        <w:rPr>
          <w:b w:val="0"/>
          <w:bCs/>
          <w:color w:val="000000" w:themeColor="text1"/>
        </w:rPr>
      </w:pPr>
      <w:r>
        <w:rPr>
          <w:b w:val="0"/>
          <w:color w:val="000000" w:themeColor="text1"/>
        </w:rPr>
        <w:t>1.</w:t>
      </w:r>
      <w:r w:rsidRPr="005E056F">
        <w:rPr>
          <w:b w:val="0"/>
          <w:color w:val="000000" w:themeColor="text1"/>
        </w:rPr>
        <w:t xml:space="preserve"> it is constitutionally verifiable that there is centralization of command. The concurrent CDF role also elevates the position of the army chief over all other services, and replaces a more decentralised arrangement of joint services that was previously formalised. In Pakistan's history, this only adds to the army's strength and not just to inter-service cooperation.</w:t>
      </w:r>
    </w:p>
    <w:p w14:paraId="7AC15EF7" w14:textId="77777777" w:rsidR="00FA4FC3" w:rsidRPr="005E056F" w:rsidRDefault="00FA4FC3" w:rsidP="00FA4FC3">
      <w:pPr>
        <w:pStyle w:val="Heading1"/>
        <w:jc w:val="both"/>
        <w:rPr>
          <w:b w:val="0"/>
          <w:bCs/>
          <w:color w:val="000000" w:themeColor="text1"/>
        </w:rPr>
      </w:pPr>
      <w:r>
        <w:rPr>
          <w:b w:val="0"/>
          <w:color w:val="000000" w:themeColor="text1"/>
        </w:rPr>
        <w:t xml:space="preserve">2. </w:t>
      </w:r>
      <w:r w:rsidRPr="005E056F">
        <w:rPr>
          <w:b w:val="0"/>
          <w:color w:val="000000" w:themeColor="text1"/>
        </w:rPr>
        <w:t xml:space="preserve"> </w:t>
      </w:r>
      <w:r>
        <w:rPr>
          <w:b w:val="0"/>
          <w:color w:val="000000" w:themeColor="text1"/>
        </w:rPr>
        <w:t>A</w:t>
      </w:r>
      <w:r w:rsidRPr="005E056F">
        <w:rPr>
          <w:b w:val="0"/>
          <w:color w:val="000000" w:themeColor="text1"/>
        </w:rPr>
        <w:t>ccountability is two sided. The combination of lifetime rank and legal protection for five star officers combined with a rigorous removal process diminishes the amount of on-going oversight and potential post-tenure review. The arrangement thus provides greater protection of military leadership than a typical democratic accountability would provide an elected government.</w:t>
      </w:r>
    </w:p>
    <w:p w14:paraId="67652AC1" w14:textId="77777777" w:rsidR="00FA4FC3" w:rsidRPr="005E056F" w:rsidRDefault="00FA4FC3" w:rsidP="00FA4FC3">
      <w:pPr>
        <w:pStyle w:val="Heading1"/>
        <w:jc w:val="both"/>
        <w:rPr>
          <w:b w:val="0"/>
          <w:bCs/>
          <w:color w:val="000000" w:themeColor="text1"/>
        </w:rPr>
      </w:pPr>
      <w:r>
        <w:rPr>
          <w:b w:val="0"/>
          <w:color w:val="000000" w:themeColor="text1"/>
        </w:rPr>
        <w:t xml:space="preserve">3. </w:t>
      </w:r>
      <w:r w:rsidRPr="005E056F">
        <w:rPr>
          <w:b w:val="0"/>
          <w:color w:val="000000" w:themeColor="text1"/>
        </w:rPr>
        <w:t xml:space="preserve"> </w:t>
      </w:r>
      <w:r>
        <w:rPr>
          <w:b w:val="0"/>
          <w:color w:val="000000" w:themeColor="text1"/>
        </w:rPr>
        <w:t>S</w:t>
      </w:r>
      <w:r w:rsidRPr="005E056F">
        <w:rPr>
          <w:b w:val="0"/>
          <w:color w:val="000000" w:themeColor="text1"/>
        </w:rPr>
        <w:t>oon there was a shift of constitutional adjudication. The FCC is now playing a large role in other constitutional powers that were traditionally the prerogative of the Supreme Court, and the line between the FCC and political actors in choosing the initial composition is becoming increasingly blurred. But the outcome will not be found the case of all future FCC rulings; that remains to be seen. It does, however, put in place a legitimate structural threat to independent review, especially in its early years.</w:t>
      </w:r>
    </w:p>
    <w:p w14:paraId="2F26263A" w14:textId="77777777" w:rsidR="00FA4FC3" w:rsidRPr="005E056F" w:rsidRDefault="00FA4FC3" w:rsidP="00FA4FC3">
      <w:pPr>
        <w:pStyle w:val="Heading1"/>
        <w:jc w:val="both"/>
        <w:rPr>
          <w:b w:val="0"/>
          <w:bCs/>
          <w:color w:val="000000" w:themeColor="text1"/>
        </w:rPr>
      </w:pPr>
      <w:r w:rsidRPr="005E056F">
        <w:rPr>
          <w:b w:val="0"/>
          <w:color w:val="000000" w:themeColor="text1"/>
        </w:rPr>
        <w:t>4. The mechanisms reinforce each other. Without strong judicial and parliamentary oversight, the power held by the Defence command would be far less significant, and without independent courts, or the power to narrowly interpret or review immunity, it would be less effective; and without military centralisation, the significance of the restructuring of the judiciary would be less political. When they are brought together, they help to corroborate the main argument of the article that the amendment enshrines the power to tutor under the constitution.</w:t>
      </w:r>
    </w:p>
    <w:p w14:paraId="65953910" w14:textId="77777777" w:rsidR="00FA4FC3" w:rsidRPr="005E056F" w:rsidRDefault="00FA4FC3" w:rsidP="00FA4FC3">
      <w:pPr>
        <w:pStyle w:val="Heading1"/>
        <w:jc w:val="both"/>
        <w:rPr>
          <w:b w:val="0"/>
          <w:bCs/>
          <w:color w:val="000000" w:themeColor="text1"/>
        </w:rPr>
      </w:pPr>
      <w:r w:rsidRPr="005E056F">
        <w:rPr>
          <w:b w:val="0"/>
          <w:color w:val="000000" w:themeColor="text1"/>
        </w:rPr>
        <w:t>8. Findings and Conclusion</w:t>
      </w:r>
    </w:p>
    <w:p w14:paraId="28BB0B48" w14:textId="77777777" w:rsidR="00FA4FC3" w:rsidRPr="005E056F" w:rsidRDefault="00FA4FC3" w:rsidP="00FA4FC3">
      <w:pPr>
        <w:pStyle w:val="Heading1"/>
        <w:jc w:val="both"/>
        <w:rPr>
          <w:b w:val="0"/>
          <w:bCs/>
          <w:color w:val="000000" w:themeColor="text1"/>
        </w:rPr>
      </w:pPr>
      <w:r w:rsidRPr="005E056F">
        <w:rPr>
          <w:b w:val="0"/>
          <w:color w:val="000000" w:themeColor="text1"/>
        </w:rPr>
        <w:t>The study concludes that the changes in the pattern of civil-military relationship in Pakistan introduced in the Twenty-Seventh Amendment are of pivotal importance in the context of the relationship. The significance of the law is not to be found in any of the individual provisions, but in the interplay of three reforms – an army chief as CDF, the insularity of five-star officers through lifetime tenure and legal immunity, and the shift of constitutional adjudication from the army to a newly established FCC. All of this helps to extend the longevity of military dominance and limits the avenues available to civilian institutions for challenging military dominance.</w:t>
      </w:r>
    </w:p>
    <w:p w14:paraId="2AAC9549" w14:textId="77777777" w:rsidR="00FA4FC3" w:rsidRPr="005E056F" w:rsidRDefault="00FA4FC3" w:rsidP="00FA4FC3">
      <w:pPr>
        <w:pStyle w:val="Heading1"/>
        <w:jc w:val="both"/>
        <w:rPr>
          <w:b w:val="0"/>
          <w:bCs/>
          <w:color w:val="000000" w:themeColor="text1"/>
        </w:rPr>
      </w:pPr>
      <w:r w:rsidRPr="005E056F">
        <w:rPr>
          <w:b w:val="0"/>
          <w:color w:val="000000" w:themeColor="text1"/>
        </w:rPr>
        <w:t>The response to the first research question is thus that the amendment tends to diminish the civilian oversight of authority by focusing it in the hands of the military and provides exceptional protection to senior military leaders, and that judicial reform strengthens the independence of constitutional accountability, but at the same time introduces significant concerns over the lack of civilian oversight of authority. The answer to the second question is qualifiedly yes: the post-amendment order can be reasonably described as 'constitutionalized tutelage', since certain elements that make up the military predominance are now enshrined in the constitution, rather than just practised informally.</w:t>
      </w:r>
    </w:p>
    <w:p w14:paraId="39E7D9FA" w14:textId="77777777" w:rsidR="00FA4FC3" w:rsidRPr="005E056F" w:rsidRDefault="00FA4FC3" w:rsidP="00FA4FC3">
      <w:pPr>
        <w:pStyle w:val="Heading1"/>
        <w:jc w:val="both"/>
        <w:rPr>
          <w:b w:val="0"/>
          <w:bCs/>
          <w:color w:val="000000" w:themeColor="text1"/>
        </w:rPr>
      </w:pPr>
      <w:r w:rsidRPr="005E056F">
        <w:rPr>
          <w:b w:val="0"/>
          <w:color w:val="000000" w:themeColor="text1"/>
        </w:rPr>
        <w:t>This is not to say that this was the final answer, or that the final answer was truly the most obvious. Elections, Parliament and civilian government are not eliminated by the amendment and constitutional design does not prescribe political practice. How the FCC uses its laws, how legislators act, how service providers relate with each other, the state of elections, and how the amendment is opposed by civil society will determine the amendment's eventual consequences. It remains to be seen whether the reform has indeed irretrievably destroyed democracy. It is fair to conclude that it significantly increases the price of bringing civilian supremacy and legal responsibility back into the institutions.</w:t>
      </w:r>
    </w:p>
    <w:p w14:paraId="0EA2181A" w14:textId="77777777" w:rsidR="00FA4FC3" w:rsidRPr="005E056F" w:rsidRDefault="00FA4FC3" w:rsidP="00FA4FC3">
      <w:pPr>
        <w:pStyle w:val="Heading1"/>
        <w:jc w:val="both"/>
        <w:rPr>
          <w:b w:val="0"/>
          <w:bCs/>
          <w:color w:val="000000" w:themeColor="text1"/>
        </w:rPr>
      </w:pPr>
      <w:r w:rsidRPr="005E056F">
        <w:rPr>
          <w:b w:val="0"/>
          <w:color w:val="000000" w:themeColor="text1"/>
        </w:rPr>
        <w:lastRenderedPageBreak/>
        <w:t>This is also a comparative aspect of Pakistan's case. It shows that a contemporary authoritarian consolidation does not require a coup, or a constitutional suspension. The alternative is to change the constitution by formally legal means to make unequal power relations "legalized.A constitution, on the other hand, may be changed by legally valid procedures, so that unequal power relations gain legal durability. But, if the tide was to be turned, it would not be enough to be able to turn the tables: the parliamentary scrutiny of defence policy and expenditure has to be effective, there must be immunities that are time-limited and practically ‘disarmed’, judicial appointments must be transparent, judicial tenure must be secure and there must be an enforceable rule that all armed institutions are subservient to the elected civilian authority. Otherwise, civilian institutions will continue to be led by their administrators and military leadership will continue to possess constitutionally guaranteed primacy over the most powerful aspects of the state.</w:t>
      </w:r>
    </w:p>
    <w:p w14:paraId="41A43042" w14:textId="77777777" w:rsidR="00825E45" w:rsidRPr="00127453" w:rsidRDefault="00825E45" w:rsidP="00825E45">
      <w:pPr>
        <w:pStyle w:val="NormalWeb"/>
        <w:spacing w:line="360" w:lineRule="auto"/>
        <w:jc w:val="both"/>
        <w:rPr>
          <w:b/>
        </w:rPr>
      </w:pPr>
      <w:r w:rsidRPr="00127453">
        <w:rPr>
          <w:b/>
        </w:rPr>
        <w:t>REFERENCES</w:t>
      </w:r>
    </w:p>
    <w:p w14:paraId="61339017" w14:textId="77777777" w:rsidR="002F2AFF" w:rsidRPr="005E056F" w:rsidRDefault="002F2AFF" w:rsidP="002F2AFF">
      <w:pPr>
        <w:spacing w:after="100"/>
        <w:ind w:left="360" w:hanging="360"/>
        <w:rPr>
          <w:color w:val="000000" w:themeColor="text1"/>
        </w:rPr>
      </w:pPr>
      <w:r w:rsidRPr="005E056F">
        <w:rPr>
          <w:color w:val="000000" w:themeColor="text1"/>
        </w:rPr>
        <w:t>Amnesty International (2026) ‘Pakistan: Twenty-seventh Constitutional Amendment attacks independence of judiciary’, 5 January. Available at: https://www.amnesty.org/en/documents/asa33/0591/2026/en/ (Accessed: 29 August 2026).</w:t>
      </w:r>
    </w:p>
    <w:p w14:paraId="122BADBB" w14:textId="77777777" w:rsidR="002F2AFF" w:rsidRPr="005E056F" w:rsidRDefault="002F2AFF" w:rsidP="002F2AFF">
      <w:pPr>
        <w:spacing w:after="100"/>
        <w:ind w:left="360" w:hanging="360"/>
        <w:rPr>
          <w:color w:val="000000" w:themeColor="text1"/>
        </w:rPr>
      </w:pPr>
      <w:r w:rsidRPr="005E056F">
        <w:rPr>
          <w:color w:val="000000" w:themeColor="text1"/>
        </w:rPr>
        <w:t>Constitution of the Islamic Republic of Pakistan (1973), as amended. Islamabad: Government of Pakistan. Available at: https://pakistancode.gov.pk/english/UY2FqaJw1-apaUY2Fqa-apaUY2Fvbpw%3D-sg-jjjjjjjjjjjjj (Accessed: 29 August 2026).</w:t>
      </w:r>
    </w:p>
    <w:p w14:paraId="30B49D93" w14:textId="77777777" w:rsidR="002F2AFF" w:rsidRPr="005E056F" w:rsidRDefault="002F2AFF" w:rsidP="002F2AFF">
      <w:pPr>
        <w:spacing w:after="100"/>
        <w:ind w:left="360" w:hanging="360"/>
        <w:rPr>
          <w:color w:val="000000" w:themeColor="text1"/>
        </w:rPr>
      </w:pPr>
      <w:r w:rsidRPr="005E056F">
        <w:rPr>
          <w:color w:val="000000" w:themeColor="text1"/>
        </w:rPr>
        <w:t>Finer, S.E. (1962) The Man on Horseback: The Role of the Military in Politics. London: Pall Mall Press.</w:t>
      </w:r>
    </w:p>
    <w:p w14:paraId="1C0DE48D" w14:textId="77777777" w:rsidR="002F2AFF" w:rsidRPr="005E056F" w:rsidRDefault="002F2AFF" w:rsidP="002F2AFF">
      <w:pPr>
        <w:spacing w:after="100"/>
        <w:ind w:left="360" w:hanging="360"/>
        <w:rPr>
          <w:color w:val="000000" w:themeColor="text1"/>
        </w:rPr>
      </w:pPr>
      <w:r w:rsidRPr="005E056F">
        <w:rPr>
          <w:color w:val="000000" w:themeColor="text1"/>
        </w:rPr>
        <w:t>Huntington, S.P. (1957) The Soldier and the State: The Theory and Politics of Civil-Military Relations. Cambridge, MA: Harvard University Press.</w:t>
      </w:r>
    </w:p>
    <w:p w14:paraId="5C05A806" w14:textId="77777777" w:rsidR="002F2AFF" w:rsidRPr="005E056F" w:rsidRDefault="002F2AFF" w:rsidP="002F2AFF">
      <w:pPr>
        <w:spacing w:after="100"/>
        <w:ind w:left="360" w:hanging="360"/>
        <w:rPr>
          <w:color w:val="000000" w:themeColor="text1"/>
        </w:rPr>
      </w:pPr>
      <w:r w:rsidRPr="005E056F">
        <w:rPr>
          <w:color w:val="000000" w:themeColor="text1"/>
        </w:rPr>
        <w:t>International Commission of Jurists (2025) ‘Pakistan: Dismantling justice: A full-frontal assault on the rule of law’, 13 November. Available at: https://www.icj.org/pakistan-dismantling-justice-a-full-frontal-assault-on-the-rule-of-law/ (Accessed: 29 August 2026).</w:t>
      </w:r>
    </w:p>
    <w:p w14:paraId="600BCDDD" w14:textId="77777777" w:rsidR="002F2AFF" w:rsidRPr="005E056F" w:rsidRDefault="002F2AFF" w:rsidP="002F2AFF">
      <w:pPr>
        <w:spacing w:after="100"/>
        <w:ind w:left="360" w:hanging="360"/>
        <w:rPr>
          <w:color w:val="000000" w:themeColor="text1"/>
        </w:rPr>
      </w:pPr>
      <w:r w:rsidRPr="005E056F">
        <w:rPr>
          <w:color w:val="000000" w:themeColor="text1"/>
        </w:rPr>
        <w:t>Janowitz, M. (1960) The Professional Soldier: A Social and Political Portrait. Glencoe, IL: Free Press.</w:t>
      </w:r>
    </w:p>
    <w:p w14:paraId="3FE56F67" w14:textId="77777777" w:rsidR="002F2AFF" w:rsidRPr="005E056F" w:rsidRDefault="002F2AFF" w:rsidP="002F2AFF">
      <w:pPr>
        <w:spacing w:after="100"/>
        <w:ind w:left="360" w:hanging="360"/>
        <w:rPr>
          <w:color w:val="000000" w:themeColor="text1"/>
        </w:rPr>
      </w:pPr>
      <w:r w:rsidRPr="005E056F">
        <w:rPr>
          <w:color w:val="000000" w:themeColor="text1"/>
        </w:rPr>
        <w:t>Levitsky, S. and Way, L.A. (2002) ‘The rise of competitive authoritarianism’, Journal of Democracy, 13(2), pp. 51–65. Available at: https://doi.org/10.1353/jod.2002.0026.</w:t>
      </w:r>
    </w:p>
    <w:p w14:paraId="5FEF8D45" w14:textId="77777777" w:rsidR="002F2AFF" w:rsidRPr="005E056F" w:rsidRDefault="002F2AFF" w:rsidP="002F2AFF">
      <w:pPr>
        <w:spacing w:after="100"/>
        <w:ind w:left="360" w:hanging="360"/>
        <w:rPr>
          <w:color w:val="000000" w:themeColor="text1"/>
        </w:rPr>
      </w:pPr>
      <w:r w:rsidRPr="005E056F">
        <w:rPr>
          <w:color w:val="000000" w:themeColor="text1"/>
        </w:rPr>
        <w:t>Levitsky, S. and Way, L.A. (2010) Competitive Authoritarianism: Hybrid Regimes after the Cold War. Cambridge: Cambridge University Press. Available at: https://doi.org/10.1017/CBO9780511781353.</w:t>
      </w:r>
    </w:p>
    <w:p w14:paraId="040B7B84" w14:textId="77777777" w:rsidR="002F2AFF" w:rsidRPr="005E056F" w:rsidRDefault="002F2AFF" w:rsidP="002F2AFF">
      <w:pPr>
        <w:spacing w:after="100"/>
        <w:ind w:left="360" w:hanging="360"/>
        <w:rPr>
          <w:color w:val="000000" w:themeColor="text1"/>
        </w:rPr>
      </w:pPr>
      <w:r w:rsidRPr="005E056F">
        <w:rPr>
          <w:color w:val="000000" w:themeColor="text1"/>
        </w:rPr>
        <w:t>Malik, Z. (2025) ‘Shifting the scales: How Pakistan’s 27th Amendment undermines judicial independence and cements executive dominance’, ConstitutionNet, 28 November. Available at: https://constitutionnet.org/news/voices/shifting-scales-how-pakistans-27th-amendment-undermines-judicial-independence (Accessed: 29 August 2026).</w:t>
      </w:r>
    </w:p>
    <w:p w14:paraId="478E3C90" w14:textId="77777777" w:rsidR="002F2AFF" w:rsidRPr="005E056F" w:rsidRDefault="002F2AFF" w:rsidP="002F2AFF">
      <w:pPr>
        <w:spacing w:after="100"/>
        <w:ind w:left="360" w:hanging="360"/>
        <w:rPr>
          <w:color w:val="000000" w:themeColor="text1"/>
        </w:rPr>
      </w:pPr>
      <w:r w:rsidRPr="005E056F">
        <w:rPr>
          <w:color w:val="000000" w:themeColor="text1"/>
        </w:rPr>
        <w:t>Raza, S. (2023) ‘A frozen democratic transition: Pakistan’s hybrid regime and weak party system’, Third World Quarterly, 44(8), pp. 1746–1763. Available at: https://doi.org/10.1080/01436597.2023.2202465.</w:t>
      </w:r>
    </w:p>
    <w:p w14:paraId="36B63056" w14:textId="77777777" w:rsidR="002F2AFF" w:rsidRPr="005E056F" w:rsidRDefault="002F2AFF" w:rsidP="002F2AFF">
      <w:pPr>
        <w:spacing w:after="100"/>
        <w:ind w:left="360" w:hanging="360"/>
        <w:rPr>
          <w:color w:val="000000" w:themeColor="text1"/>
        </w:rPr>
      </w:pPr>
      <w:r w:rsidRPr="005E056F">
        <w:rPr>
          <w:color w:val="000000" w:themeColor="text1"/>
        </w:rPr>
        <w:t>Shah, A. (2014) The Army and Democracy: Military Politics in Pakistan. Cambridge, MA: Harvard University Press.</w:t>
      </w:r>
    </w:p>
    <w:p w14:paraId="06692CC9" w14:textId="77777777" w:rsidR="002F2AFF" w:rsidRPr="005E056F" w:rsidRDefault="002F2AFF" w:rsidP="002F2AFF">
      <w:pPr>
        <w:spacing w:after="100"/>
        <w:ind w:left="360" w:hanging="360"/>
        <w:rPr>
          <w:color w:val="000000" w:themeColor="text1"/>
        </w:rPr>
      </w:pPr>
      <w:r w:rsidRPr="005E056F">
        <w:rPr>
          <w:color w:val="000000" w:themeColor="text1"/>
        </w:rPr>
        <w:lastRenderedPageBreak/>
        <w:t>Shahid, A. (2025) ‘Pakistan parliament approves more powers for army chief, curbs top court’, Reuters, 12 November. Available at: https://www.reuters.com/world/asia-pacific/pakistan-parliament-approves-more-powers-army-chief-curbs-top-court-2025-11-12/ (Accessed: 29 August 2026).</w:t>
      </w:r>
    </w:p>
    <w:p w14:paraId="0BE7D0D2" w14:textId="77777777" w:rsidR="002F2AFF" w:rsidRPr="005E056F" w:rsidRDefault="002F2AFF" w:rsidP="002F2AFF">
      <w:pPr>
        <w:spacing w:after="100"/>
        <w:ind w:left="360" w:hanging="360"/>
        <w:rPr>
          <w:color w:val="000000" w:themeColor="text1"/>
        </w:rPr>
      </w:pPr>
      <w:r w:rsidRPr="005E056F">
        <w:rPr>
          <w:color w:val="000000" w:themeColor="text1"/>
        </w:rPr>
        <w:t>Shaikh, F. (2025) ‘Pakistan’s 27th constitutional amendment moves it one step closer to authoritarian rule’, Chatham House, 2 December. Available at: https://www.chathamhouse.org/2025/12/pakistans-27th-constitutional-amendment-moves-it-one-step-closer-authoritarian-rule (Accessed: 29 August 2026).</w:t>
      </w:r>
    </w:p>
    <w:p w14:paraId="5742CBCC" w14:textId="77777777" w:rsidR="002F2AFF" w:rsidRPr="005E056F" w:rsidRDefault="002F2AFF" w:rsidP="002F2AFF">
      <w:pPr>
        <w:spacing w:after="100"/>
        <w:ind w:left="360" w:hanging="360"/>
        <w:rPr>
          <w:color w:val="000000" w:themeColor="text1"/>
        </w:rPr>
      </w:pPr>
      <w:r w:rsidRPr="005E056F">
        <w:rPr>
          <w:color w:val="000000" w:themeColor="text1"/>
        </w:rPr>
        <w:t>Siddiqa, A. (2017) Military Inc.: Inside Pakistan’s Military Economy. 2nd edn. London: Pluto Press.</w:t>
      </w:r>
    </w:p>
    <w:p w14:paraId="38914433" w14:textId="77777777" w:rsidR="002F2AFF" w:rsidRPr="005E056F" w:rsidRDefault="002F2AFF" w:rsidP="002F2AFF">
      <w:pPr>
        <w:spacing w:after="100"/>
        <w:ind w:left="360" w:hanging="360"/>
        <w:rPr>
          <w:color w:val="000000" w:themeColor="text1"/>
        </w:rPr>
      </w:pPr>
      <w:r w:rsidRPr="005E056F">
        <w:rPr>
          <w:color w:val="000000" w:themeColor="text1"/>
        </w:rPr>
        <w:t>The Constitution (Twenty-Seventh Amendment) Act 2025. Islamabad: Parliament of Pakistan.</w:t>
      </w:r>
    </w:p>
    <w:p w14:paraId="37F2325E" w14:textId="77777777" w:rsidR="002F2AFF" w:rsidRPr="005E056F" w:rsidRDefault="002F2AFF" w:rsidP="002F2AFF">
      <w:pPr>
        <w:spacing w:after="100"/>
        <w:ind w:left="360" w:hanging="360"/>
        <w:rPr>
          <w:color w:val="000000" w:themeColor="text1"/>
        </w:rPr>
      </w:pPr>
      <w:r w:rsidRPr="005E056F">
        <w:rPr>
          <w:color w:val="000000" w:themeColor="text1"/>
        </w:rPr>
        <w:t>Wolf, S.O. (2025) ‘Pakistan in 2024: Reconstituting a hybrid regime’, Asian Survey, 65(2), pp. 202–212. Available at: https://doi.org/10.1525/as.2025.209663.</w:t>
      </w:r>
    </w:p>
    <w:p w14:paraId="5B4E49A6" w14:textId="523D21DA" w:rsidR="00DE1C65" w:rsidRPr="0086220A" w:rsidRDefault="00DE1C65" w:rsidP="0086220A">
      <w:pPr>
        <w:pStyle w:val="Heading1"/>
        <w:ind w:left="-5"/>
        <w:rPr>
          <w:rFonts w:asciiTheme="majorBidi" w:hAnsiTheme="majorBidi" w:cstheme="majorBidi"/>
        </w:rPr>
      </w:pPr>
    </w:p>
    <w:sectPr w:rsidR="00DE1C65" w:rsidRPr="0086220A" w:rsidSect="0086220A">
      <w:footerReference w:type="even" r:id="rId8"/>
      <w:footerReference w:type="default" r:id="rId9"/>
      <w:footerReference w:type="first" r:id="rId10"/>
      <w:pgSz w:w="11906" w:h="16838" w:code="9"/>
      <w:pgMar w:top="998" w:right="1434" w:bottom="450" w:left="1440" w:header="720" w:footer="7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FD230" w14:textId="77777777" w:rsidR="00322BD1" w:rsidRDefault="00322BD1">
      <w:pPr>
        <w:spacing w:after="0" w:line="240" w:lineRule="auto"/>
      </w:pPr>
      <w:r>
        <w:separator/>
      </w:r>
    </w:p>
  </w:endnote>
  <w:endnote w:type="continuationSeparator" w:id="0">
    <w:p w14:paraId="44DBE789" w14:textId="77777777" w:rsidR="00322BD1" w:rsidRDefault="00322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8A94F" w14:textId="77777777" w:rsidR="00DE1C65" w:rsidRDefault="002314B0">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6BD9FA5" wp14:editId="63A27F51">
              <wp:simplePos x="0" y="0"/>
              <wp:positionH relativeFrom="page">
                <wp:posOffset>914705</wp:posOffset>
              </wp:positionH>
              <wp:positionV relativeFrom="page">
                <wp:posOffset>9108643</wp:posOffset>
              </wp:positionV>
              <wp:extent cx="5944566" cy="323088"/>
              <wp:effectExtent l="0" t="0" r="0" b="0"/>
              <wp:wrapSquare wrapText="bothSides"/>
              <wp:docPr id="29797" name="Group 29797"/>
              <wp:cNvGraphicFramePr/>
              <a:graphic xmlns:a="http://schemas.openxmlformats.org/drawingml/2006/main">
                <a:graphicData uri="http://schemas.microsoft.com/office/word/2010/wordprocessingGroup">
                  <wpg:wgp>
                    <wpg:cNvGrpSpPr/>
                    <wpg:grpSpPr>
                      <a:xfrm>
                        <a:off x="0" y="0"/>
                        <a:ext cx="5944566" cy="323088"/>
                        <a:chOff x="0" y="0"/>
                        <a:chExt cx="5944566" cy="323088"/>
                      </a:xfrm>
                    </wpg:grpSpPr>
                    <wps:wsp>
                      <wps:cNvPr id="29803" name="Rectangle 29803"/>
                      <wps:cNvSpPr/>
                      <wps:spPr>
                        <a:xfrm>
                          <a:off x="3308935" y="106680"/>
                          <a:ext cx="3014022" cy="189937"/>
                        </a:xfrm>
                        <a:prstGeom prst="rect">
                          <a:avLst/>
                        </a:prstGeom>
                        <a:ln>
                          <a:noFill/>
                        </a:ln>
                      </wps:spPr>
                      <wps:txbx>
                        <w:txbxContent>
                          <w:p w14:paraId="41198EDF" w14:textId="77777777" w:rsidR="00DE1C65" w:rsidRDefault="002314B0">
                            <w:pPr>
                              <w:spacing w:after="160" w:line="259" w:lineRule="auto"/>
                              <w:ind w:left="0" w:right="0" w:firstLine="0"/>
                              <w:jc w:val="left"/>
                            </w:pPr>
                            <w:r>
                              <w:rPr>
                                <w:rFonts w:ascii="Calibri" w:eastAsia="Calibri" w:hAnsi="Calibri" w:cs="Calibri"/>
                                <w:sz w:val="22"/>
                              </w:rPr>
                              <w:t>APPLIED RESEARCH IN SOCIAL SCIENCES</w:t>
                            </w:r>
                          </w:p>
                        </w:txbxContent>
                      </wps:txbx>
                      <wps:bodyPr horzOverflow="overflow" vert="horz" lIns="0" tIns="0" rIns="0" bIns="0" rtlCol="0">
                        <a:noAutofit/>
                      </wps:bodyPr>
                    </wps:wsp>
                    <wps:wsp>
                      <wps:cNvPr id="29804" name="Rectangle 29804"/>
                      <wps:cNvSpPr/>
                      <wps:spPr>
                        <a:xfrm>
                          <a:off x="5574234" y="106680"/>
                          <a:ext cx="42144" cy="189937"/>
                        </a:xfrm>
                        <a:prstGeom prst="rect">
                          <a:avLst/>
                        </a:prstGeom>
                        <a:ln>
                          <a:noFill/>
                        </a:ln>
                      </wps:spPr>
                      <wps:txbx>
                        <w:txbxContent>
                          <w:p w14:paraId="441D8456" w14:textId="77777777" w:rsidR="00DE1C65" w:rsidRDefault="002314B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0882" name="Shape 30882"/>
                      <wps:cNvSpPr/>
                      <wps:spPr>
                        <a:xfrm>
                          <a:off x="5647386" y="6096"/>
                          <a:ext cx="297180" cy="316992"/>
                        </a:xfrm>
                        <a:custGeom>
                          <a:avLst/>
                          <a:gdLst/>
                          <a:ahLst/>
                          <a:cxnLst/>
                          <a:rect l="0" t="0" r="0" b="0"/>
                          <a:pathLst>
                            <a:path w="297180" h="316992">
                              <a:moveTo>
                                <a:pt x="0" y="0"/>
                              </a:moveTo>
                              <a:lnTo>
                                <a:pt x="297180" y="0"/>
                              </a:lnTo>
                              <a:lnTo>
                                <a:pt x="297180" y="316992"/>
                              </a:lnTo>
                              <a:lnTo>
                                <a:pt x="0" y="316992"/>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30883" name="Shape 30883"/>
                      <wps:cNvSpPr/>
                      <wps:spPr>
                        <a:xfrm>
                          <a:off x="5720538" y="79248"/>
                          <a:ext cx="150876" cy="170688"/>
                        </a:xfrm>
                        <a:custGeom>
                          <a:avLst/>
                          <a:gdLst/>
                          <a:ahLst/>
                          <a:cxnLst/>
                          <a:rect l="0" t="0" r="0" b="0"/>
                          <a:pathLst>
                            <a:path w="150876" h="170688">
                              <a:moveTo>
                                <a:pt x="0" y="0"/>
                              </a:moveTo>
                              <a:lnTo>
                                <a:pt x="150876" y="0"/>
                              </a:lnTo>
                              <a:lnTo>
                                <a:pt x="150876" y="170688"/>
                              </a:lnTo>
                              <a:lnTo>
                                <a:pt x="0" y="17068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29805" name="Rectangle 29805"/>
                      <wps:cNvSpPr/>
                      <wps:spPr>
                        <a:xfrm>
                          <a:off x="5760162" y="106680"/>
                          <a:ext cx="94544" cy="189937"/>
                        </a:xfrm>
                        <a:prstGeom prst="rect">
                          <a:avLst/>
                        </a:prstGeom>
                        <a:ln>
                          <a:noFill/>
                        </a:ln>
                      </wps:spPr>
                      <wps:txbx>
                        <w:txbxContent>
                          <w:p w14:paraId="060FD034" w14:textId="77777777" w:rsidR="00DE1C65" w:rsidRDefault="002314B0">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color w:val="FFFFFF"/>
                                <w:sz w:val="22"/>
                              </w:rPr>
                              <w:t>2</w:t>
                            </w:r>
                            <w:r>
                              <w:rPr>
                                <w:rFonts w:ascii="Calibri" w:eastAsia="Calibri" w:hAnsi="Calibri" w:cs="Calibri"/>
                                <w:color w:val="FFFFFF"/>
                                <w:sz w:val="22"/>
                              </w:rPr>
                              <w:fldChar w:fldCharType="end"/>
                            </w:r>
                          </w:p>
                        </w:txbxContent>
                      </wps:txbx>
                      <wps:bodyPr horzOverflow="overflow" vert="horz" lIns="0" tIns="0" rIns="0" bIns="0" rtlCol="0">
                        <a:noAutofit/>
                      </wps:bodyPr>
                    </wps:wsp>
                    <wps:wsp>
                      <wps:cNvPr id="29806" name="Rectangle 29806"/>
                      <wps:cNvSpPr/>
                      <wps:spPr>
                        <a:xfrm>
                          <a:off x="5830265" y="106680"/>
                          <a:ext cx="42144" cy="189937"/>
                        </a:xfrm>
                        <a:prstGeom prst="rect">
                          <a:avLst/>
                        </a:prstGeom>
                        <a:ln>
                          <a:noFill/>
                        </a:ln>
                      </wps:spPr>
                      <wps:txbx>
                        <w:txbxContent>
                          <w:p w14:paraId="1A7D465C" w14:textId="77777777" w:rsidR="00DE1C65" w:rsidRDefault="002314B0">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0884" name="Shape 30884"/>
                      <wps:cNvSpPr/>
                      <wps:spPr>
                        <a:xfrm>
                          <a:off x="0" y="0"/>
                          <a:ext cx="5647310" cy="9144"/>
                        </a:xfrm>
                        <a:custGeom>
                          <a:avLst/>
                          <a:gdLst/>
                          <a:ahLst/>
                          <a:cxnLst/>
                          <a:rect l="0" t="0" r="0" b="0"/>
                          <a:pathLst>
                            <a:path w="5647310" h="9144">
                              <a:moveTo>
                                <a:pt x="0" y="0"/>
                              </a:moveTo>
                              <a:lnTo>
                                <a:pt x="5647310" y="0"/>
                              </a:lnTo>
                              <a:lnTo>
                                <a:pt x="5647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85" name="Shape 30885"/>
                      <wps:cNvSpPr/>
                      <wps:spPr>
                        <a:xfrm>
                          <a:off x="5647386" y="0"/>
                          <a:ext cx="297180" cy="79248"/>
                        </a:xfrm>
                        <a:custGeom>
                          <a:avLst/>
                          <a:gdLst/>
                          <a:ahLst/>
                          <a:cxnLst/>
                          <a:rect l="0" t="0" r="0" b="0"/>
                          <a:pathLst>
                            <a:path w="297180" h="79248">
                              <a:moveTo>
                                <a:pt x="0" y="0"/>
                              </a:moveTo>
                              <a:lnTo>
                                <a:pt x="297180" y="0"/>
                              </a:lnTo>
                              <a:lnTo>
                                <a:pt x="297180" y="79248"/>
                              </a:lnTo>
                              <a:lnTo>
                                <a:pt x="0" y="7924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30886" name="Shape 30886"/>
                      <wps:cNvSpPr/>
                      <wps:spPr>
                        <a:xfrm>
                          <a:off x="5647386" y="249936"/>
                          <a:ext cx="297180" cy="73152"/>
                        </a:xfrm>
                        <a:custGeom>
                          <a:avLst/>
                          <a:gdLst/>
                          <a:ahLst/>
                          <a:cxnLst/>
                          <a:rect l="0" t="0" r="0" b="0"/>
                          <a:pathLst>
                            <a:path w="297180" h="73152">
                              <a:moveTo>
                                <a:pt x="0" y="0"/>
                              </a:moveTo>
                              <a:lnTo>
                                <a:pt x="297180" y="0"/>
                              </a:lnTo>
                              <a:lnTo>
                                <a:pt x="297180" y="73152"/>
                              </a:lnTo>
                              <a:lnTo>
                                <a:pt x="0" y="73152"/>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g:wgp>
                </a:graphicData>
              </a:graphic>
            </wp:anchor>
          </w:drawing>
        </mc:Choice>
        <mc:Fallback>
          <w:pict>
            <v:group w14:anchorId="76BD9FA5" id="Group 29797" o:spid="_x0000_s1026" style="position:absolute;margin-left:1in;margin-top:717.2pt;width:468.1pt;height:25.45pt;z-index:251658240;mso-position-horizontal-relative:page;mso-position-vertical-relative:page" coordsize="59445,3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">
              <v:rect id="Rectangle 29803" o:spid="_x0000_s1027" style="position:absolute;left:33089;top:1066;width:3014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" filled="f" stroked="f">
                <v:textbox inset="0,0,0,0">
                  <w:txbxContent>
                    <w:p w14:paraId="41198EDF" w14:textId="77777777" w:rsidR="00DE1C65" w:rsidRDefault="002314B0">
                      <w:pPr>
                        <w:spacing w:after="160" w:line="259" w:lineRule="auto"/>
                        <w:ind w:left="0" w:right="0" w:firstLine="0"/>
                        <w:jc w:val="left"/>
                      </w:pPr>
                      <w:r>
                        <w:rPr>
                          <w:rFonts w:ascii="Calibri" w:eastAsia="Calibri" w:hAnsi="Calibri" w:cs="Calibri"/>
                          <w:sz w:val="22"/>
                        </w:rPr>
                        <w:t>APPLIED RESEARCH IN SOCIAL SCIENCES</w:t>
                      </w:r>
                    </w:p>
                  </w:txbxContent>
                </v:textbox>
              </v:rect>
              <v:rect id="Rectangle 29804" o:spid="_x0000_s1028" style="position:absolute;left:55742;top:106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" filled="f" stroked="f">
                <v:textbox inset="0,0,0,0">
                  <w:txbxContent>
                    <w:p w14:paraId="441D8456" w14:textId="77777777" w:rsidR="00DE1C65" w:rsidRDefault="002314B0">
                      <w:pPr>
                        <w:spacing w:after="160" w:line="259" w:lineRule="auto"/>
                        <w:ind w:left="0" w:right="0" w:firstLine="0"/>
                        <w:jc w:val="left"/>
                      </w:pPr>
                      <w:r>
                        <w:rPr>
                          <w:rFonts w:ascii="Calibri" w:eastAsia="Calibri" w:hAnsi="Calibri" w:cs="Calibri"/>
                          <w:sz w:val="22"/>
                        </w:rPr>
                        <w:t xml:space="preserve"> </w:t>
                      </w:r>
                    </w:p>
                  </w:txbxContent>
                </v:textbox>
              </v:rect>
              <v:shape id="Shape 30882" o:spid="_x0000_s1029" style="position:absolute;left:56473;top:60;width:2972;height:3170;visibility:visible;mso-wrap-style:square;v-text-anchor:top" coordsize="297180,316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" path="m,l297180,r,316992l,316992,,e" fillcolor="#ed7d31" stroked="f" strokeweight="0">
                <v:stroke miterlimit="83231f" joinstyle="miter"/>
                <v:path arrowok="t" textboxrect="0,0,297180,316992"/>
              </v:shape>
              <v:shape id="Shape 30883" o:spid="_x0000_s1030" style="position:absolute;left:57205;top:792;width:1509;height:1707;visibility:visible;mso-wrap-style:square;v-text-anchor:top" coordsize="15087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" path="m,l150876,r,170688l,170688,,e" fillcolor="#ed7d31" stroked="f" strokeweight="0">
                <v:stroke miterlimit="83231f" joinstyle="miter"/>
                <v:path arrowok="t" textboxrect="0,0,150876,170688"/>
              </v:shape>
              <v:rect id="Rectangle 29805" o:spid="_x0000_s1031" style="position:absolute;left:57601;top:1066;width:9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" filled="f" stroked="f">
                <v:textbox inset="0,0,0,0">
                  <w:txbxContent>
                    <w:p w14:paraId="060FD034" w14:textId="77777777" w:rsidR="00DE1C65" w:rsidRDefault="002314B0">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color w:val="FFFFFF"/>
                          <w:sz w:val="22"/>
                        </w:rPr>
                        <w:t>2</w:t>
                      </w:r>
                      <w:r>
                        <w:rPr>
                          <w:rFonts w:ascii="Calibri" w:eastAsia="Calibri" w:hAnsi="Calibri" w:cs="Calibri"/>
                          <w:color w:val="FFFFFF"/>
                          <w:sz w:val="22"/>
                        </w:rPr>
                        <w:fldChar w:fldCharType="end"/>
                      </w:r>
                    </w:p>
                  </w:txbxContent>
                </v:textbox>
              </v:rect>
              <v:rect id="Rectangle 29806" o:spid="_x0000_s1032" style="position:absolute;left:58302;top:106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" filled="f" stroked="f">
                <v:textbox inset="0,0,0,0">
                  <w:txbxContent>
                    <w:p w14:paraId="1A7D465C" w14:textId="77777777" w:rsidR="00DE1C65" w:rsidRDefault="002314B0">
                      <w:pPr>
                        <w:spacing w:after="160" w:line="259" w:lineRule="auto"/>
                        <w:ind w:left="0" w:right="0" w:firstLine="0"/>
                        <w:jc w:val="left"/>
                      </w:pPr>
                      <w:r>
                        <w:rPr>
                          <w:rFonts w:ascii="Calibri" w:eastAsia="Calibri" w:hAnsi="Calibri" w:cs="Calibri"/>
                          <w:color w:val="FFFFFF"/>
                          <w:sz w:val="22"/>
                        </w:rPr>
                        <w:t xml:space="preserve"> </w:t>
                      </w:r>
                    </w:p>
                  </w:txbxContent>
                </v:textbox>
              </v:rect>
              <v:shape id="Shape 30884" o:spid="_x0000_s1033" style="position:absolute;width:56473;height:91;visibility:visible;mso-wrap-style:square;v-text-anchor:top" coordsize="5647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" path="m,l5647310,r,9144l,9144,,e" fillcolor="black" stroked="f" strokeweight="0">
                <v:stroke miterlimit="83231f" joinstyle="miter"/>
                <v:path arrowok="t" textboxrect="0,0,5647310,9144"/>
              </v:shape>
              <v:shape id="Shape 30885" o:spid="_x0000_s1034" style="position:absolute;left:56473;width:2972;height:792;visibility:visible;mso-wrap-style:square;v-text-anchor:top" coordsize="297180,79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" path="m,l297180,r,79248l,79248,,e" fillcolor="#ed7d31" stroked="f" strokeweight="0">
                <v:stroke miterlimit="83231f" joinstyle="miter"/>
                <v:path arrowok="t" textboxrect="0,0,297180,79248"/>
              </v:shape>
              <v:shape id="Shape 30886" o:spid="_x0000_s1035" style="position:absolute;left:56473;top:2499;width:2972;height:731;visibility:visible;mso-wrap-style:square;v-text-anchor:top" coordsize="297180,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" path="m,l297180,r,73152l,73152,,e" fillcolor="#ed7d31" stroked="f" strokeweight="0">
                <v:stroke miterlimit="83231f" joinstyle="miter"/>
                <v:path arrowok="t" textboxrect="0,0,297180,73152"/>
              </v:shape>
              <w10:wrap type="square" anchorx="page" anchory="page"/>
            </v:group>
          </w:pict>
        </mc:Fallback>
      </mc:AlternateContent>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8DE6C" w14:textId="6C39D42C" w:rsidR="00DE1C65" w:rsidRDefault="002314B0" w:rsidP="0086220A">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1" behindDoc="0" locked="0" layoutInCell="1" allowOverlap="1" wp14:anchorId="6BFB225C" wp14:editId="4C2A896D">
              <wp:simplePos x="0" y="0"/>
              <wp:positionH relativeFrom="page">
                <wp:posOffset>914400</wp:posOffset>
              </wp:positionH>
              <wp:positionV relativeFrom="page">
                <wp:posOffset>9951720</wp:posOffset>
              </wp:positionV>
              <wp:extent cx="6322957" cy="323088"/>
              <wp:effectExtent l="0" t="0" r="0" b="1270"/>
              <wp:wrapSquare wrapText="bothSides"/>
              <wp:docPr id="29781" name="Group 29781"/>
              <wp:cNvGraphicFramePr/>
              <a:graphic xmlns:a="http://schemas.openxmlformats.org/drawingml/2006/main">
                <a:graphicData uri="http://schemas.microsoft.com/office/word/2010/wordprocessingGroup">
                  <wpg:wgp>
                    <wpg:cNvGrpSpPr/>
                    <wpg:grpSpPr>
                      <a:xfrm>
                        <a:off x="0" y="0"/>
                        <a:ext cx="6322957" cy="323088"/>
                        <a:chOff x="0" y="0"/>
                        <a:chExt cx="6322957" cy="323088"/>
                      </a:xfrm>
                    </wpg:grpSpPr>
                    <wps:wsp>
                      <wps:cNvPr id="29787" name="Rectangle 29787"/>
                      <wps:cNvSpPr/>
                      <wps:spPr>
                        <a:xfrm>
                          <a:off x="3308935" y="106680"/>
                          <a:ext cx="3014022" cy="189937"/>
                        </a:xfrm>
                        <a:prstGeom prst="rect">
                          <a:avLst/>
                        </a:prstGeom>
                        <a:ln>
                          <a:noFill/>
                        </a:ln>
                      </wps:spPr>
                      <wps:txbx>
                        <w:txbxContent>
                          <w:p w14:paraId="65B3460D" w14:textId="77777777" w:rsidR="00DE1C65" w:rsidRDefault="002314B0">
                            <w:pPr>
                              <w:spacing w:after="160" w:line="259" w:lineRule="auto"/>
                              <w:ind w:left="0" w:right="0" w:firstLine="0"/>
                              <w:jc w:val="left"/>
                            </w:pPr>
                            <w:r>
                              <w:rPr>
                                <w:rFonts w:ascii="Calibri" w:eastAsia="Calibri" w:hAnsi="Calibri" w:cs="Calibri"/>
                                <w:sz w:val="22"/>
                              </w:rPr>
                              <w:t>APPLIED RESEARCH IN SOCIAL SCIENCES</w:t>
                            </w:r>
                          </w:p>
                        </w:txbxContent>
                      </wps:txbx>
                      <wps:bodyPr horzOverflow="overflow" vert="horz" lIns="0" tIns="0" rIns="0" bIns="0" rtlCol="0">
                        <a:noAutofit/>
                      </wps:bodyPr>
                    </wps:wsp>
                    <wps:wsp>
                      <wps:cNvPr id="29788" name="Rectangle 29788"/>
                      <wps:cNvSpPr/>
                      <wps:spPr>
                        <a:xfrm>
                          <a:off x="5574234" y="106680"/>
                          <a:ext cx="42144" cy="189937"/>
                        </a:xfrm>
                        <a:prstGeom prst="rect">
                          <a:avLst/>
                        </a:prstGeom>
                        <a:ln>
                          <a:noFill/>
                        </a:ln>
                      </wps:spPr>
                      <wps:txbx>
                        <w:txbxContent>
                          <w:p w14:paraId="14340A35" w14:textId="77777777" w:rsidR="00DE1C65" w:rsidRDefault="002314B0">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0872" name="Shape 30872"/>
                      <wps:cNvSpPr/>
                      <wps:spPr>
                        <a:xfrm>
                          <a:off x="5647386" y="6096"/>
                          <a:ext cx="297180" cy="316992"/>
                        </a:xfrm>
                        <a:custGeom>
                          <a:avLst/>
                          <a:gdLst/>
                          <a:ahLst/>
                          <a:cxnLst/>
                          <a:rect l="0" t="0" r="0" b="0"/>
                          <a:pathLst>
                            <a:path w="297180" h="316992">
                              <a:moveTo>
                                <a:pt x="0" y="0"/>
                              </a:moveTo>
                              <a:lnTo>
                                <a:pt x="297180" y="0"/>
                              </a:lnTo>
                              <a:lnTo>
                                <a:pt x="297180" y="316992"/>
                              </a:lnTo>
                              <a:lnTo>
                                <a:pt x="0" y="316992"/>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30873" name="Shape 30873"/>
                      <wps:cNvSpPr/>
                      <wps:spPr>
                        <a:xfrm>
                          <a:off x="5720538" y="79248"/>
                          <a:ext cx="150876" cy="170688"/>
                        </a:xfrm>
                        <a:custGeom>
                          <a:avLst/>
                          <a:gdLst/>
                          <a:ahLst/>
                          <a:cxnLst/>
                          <a:rect l="0" t="0" r="0" b="0"/>
                          <a:pathLst>
                            <a:path w="150876" h="170688">
                              <a:moveTo>
                                <a:pt x="0" y="0"/>
                              </a:moveTo>
                              <a:lnTo>
                                <a:pt x="150876" y="0"/>
                              </a:lnTo>
                              <a:lnTo>
                                <a:pt x="150876" y="170688"/>
                              </a:lnTo>
                              <a:lnTo>
                                <a:pt x="0" y="17068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29789" name="Rectangle 29789"/>
                      <wps:cNvSpPr/>
                      <wps:spPr>
                        <a:xfrm>
                          <a:off x="5646605" y="0"/>
                          <a:ext cx="297481" cy="321906"/>
                        </a:xfrm>
                        <a:prstGeom prst="rect">
                          <a:avLst/>
                        </a:prstGeom>
                        <a:ln>
                          <a:noFill/>
                        </a:ln>
                      </wps:spPr>
                      <wps:txbx>
                        <w:txbxContent>
                          <w:p w14:paraId="4004C831" w14:textId="77777777" w:rsidR="00DE1C65" w:rsidRDefault="002314B0">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color w:val="FFFFFF"/>
                                <w:sz w:val="22"/>
                              </w:rPr>
                              <w:t>2</w:t>
                            </w:r>
                            <w:r>
                              <w:rPr>
                                <w:rFonts w:ascii="Calibri" w:eastAsia="Calibri" w:hAnsi="Calibri" w:cs="Calibri"/>
                                <w:color w:val="FFFFFF"/>
                                <w:sz w:val="22"/>
                              </w:rPr>
                              <w:fldChar w:fldCharType="end"/>
                            </w:r>
                          </w:p>
                        </w:txbxContent>
                      </wps:txbx>
                      <wps:bodyPr horzOverflow="overflow" vert="horz" lIns="0" tIns="0" rIns="0" bIns="0" rtlCol="0">
                        <a:noAutofit/>
                      </wps:bodyPr>
                    </wps:wsp>
                    <wps:wsp>
                      <wps:cNvPr id="29790" name="Rectangle 29790"/>
                      <wps:cNvSpPr/>
                      <wps:spPr>
                        <a:xfrm>
                          <a:off x="5830265" y="106680"/>
                          <a:ext cx="42144" cy="189937"/>
                        </a:xfrm>
                        <a:prstGeom prst="rect">
                          <a:avLst/>
                        </a:prstGeom>
                        <a:ln>
                          <a:noFill/>
                        </a:ln>
                      </wps:spPr>
                      <wps:txbx>
                        <w:txbxContent>
                          <w:p w14:paraId="74F37132" w14:textId="77777777" w:rsidR="00DE1C65" w:rsidRDefault="002314B0">
                            <w:pPr>
                              <w:spacing w:after="160" w:line="259" w:lineRule="auto"/>
                              <w:ind w:left="0" w:right="0" w:firstLine="0"/>
                              <w:jc w:val="left"/>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30874" name="Shape 30874"/>
                      <wps:cNvSpPr/>
                      <wps:spPr>
                        <a:xfrm>
                          <a:off x="0" y="0"/>
                          <a:ext cx="5647310" cy="9144"/>
                        </a:xfrm>
                        <a:custGeom>
                          <a:avLst/>
                          <a:gdLst/>
                          <a:ahLst/>
                          <a:cxnLst/>
                          <a:rect l="0" t="0" r="0" b="0"/>
                          <a:pathLst>
                            <a:path w="5647310" h="9144">
                              <a:moveTo>
                                <a:pt x="0" y="0"/>
                              </a:moveTo>
                              <a:lnTo>
                                <a:pt x="5647310" y="0"/>
                              </a:lnTo>
                              <a:lnTo>
                                <a:pt x="56473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75" name="Shape 30875"/>
                      <wps:cNvSpPr/>
                      <wps:spPr>
                        <a:xfrm>
                          <a:off x="5647386" y="0"/>
                          <a:ext cx="297180" cy="79248"/>
                        </a:xfrm>
                        <a:custGeom>
                          <a:avLst/>
                          <a:gdLst/>
                          <a:ahLst/>
                          <a:cxnLst/>
                          <a:rect l="0" t="0" r="0" b="0"/>
                          <a:pathLst>
                            <a:path w="297180" h="79248">
                              <a:moveTo>
                                <a:pt x="0" y="0"/>
                              </a:moveTo>
                              <a:lnTo>
                                <a:pt x="297180" y="0"/>
                              </a:lnTo>
                              <a:lnTo>
                                <a:pt x="297180" y="79248"/>
                              </a:lnTo>
                              <a:lnTo>
                                <a:pt x="0" y="7924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30876" name="Shape 30876"/>
                      <wps:cNvSpPr/>
                      <wps:spPr>
                        <a:xfrm>
                          <a:off x="5647386" y="249936"/>
                          <a:ext cx="297180" cy="73152"/>
                        </a:xfrm>
                        <a:custGeom>
                          <a:avLst/>
                          <a:gdLst/>
                          <a:ahLst/>
                          <a:cxnLst/>
                          <a:rect l="0" t="0" r="0" b="0"/>
                          <a:pathLst>
                            <a:path w="297180" h="73152">
                              <a:moveTo>
                                <a:pt x="0" y="0"/>
                              </a:moveTo>
                              <a:lnTo>
                                <a:pt x="297180" y="0"/>
                              </a:lnTo>
                              <a:lnTo>
                                <a:pt x="297180" y="73152"/>
                              </a:lnTo>
                              <a:lnTo>
                                <a:pt x="0" y="73152"/>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BFB225C" id="Group 29781" o:spid="_x0000_s1036" style="position:absolute;margin-left:1in;margin-top:783.6pt;width:497.85pt;height:25.45pt;z-index:251658241;mso-position-horizontal-relative:page;mso-position-vertical-relative:page;mso-width-relative:margin;mso-height-relative:margin" coordsize="63229,3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">
              <v:rect id="Rectangle 29787" o:spid="_x0000_s1037" style="position:absolute;left:33089;top:1066;width:3014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" filled="f" stroked="f">
                <v:textbox inset="0,0,0,0">
                  <w:txbxContent>
                    <w:p w14:paraId="65B3460D" w14:textId="77777777" w:rsidR="00DE1C65" w:rsidRDefault="002314B0">
                      <w:pPr>
                        <w:spacing w:after="160" w:line="259" w:lineRule="auto"/>
                        <w:ind w:left="0" w:right="0" w:firstLine="0"/>
                        <w:jc w:val="left"/>
                      </w:pPr>
                      <w:r>
                        <w:rPr>
                          <w:rFonts w:ascii="Calibri" w:eastAsia="Calibri" w:hAnsi="Calibri" w:cs="Calibri"/>
                          <w:sz w:val="22"/>
                        </w:rPr>
                        <w:t>APPLIED RESEARCH IN SOCIAL SCIENCES</w:t>
                      </w:r>
                    </w:p>
                  </w:txbxContent>
                </v:textbox>
              </v:rect>
              <v:rect id="Rectangle 29788" o:spid="_x0000_s1038" style="position:absolute;left:55742;top:106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" filled="f" stroked="f">
                <v:textbox inset="0,0,0,0">
                  <w:txbxContent>
                    <w:p w14:paraId="14340A35" w14:textId="77777777" w:rsidR="00DE1C65" w:rsidRDefault="002314B0">
                      <w:pPr>
                        <w:spacing w:after="160" w:line="259" w:lineRule="auto"/>
                        <w:ind w:left="0" w:right="0" w:firstLine="0"/>
                        <w:jc w:val="left"/>
                      </w:pPr>
                      <w:r>
                        <w:rPr>
                          <w:rFonts w:ascii="Calibri" w:eastAsia="Calibri" w:hAnsi="Calibri" w:cs="Calibri"/>
                          <w:sz w:val="22"/>
                        </w:rPr>
                        <w:t xml:space="preserve"> </w:t>
                      </w:r>
                    </w:p>
                  </w:txbxContent>
                </v:textbox>
              </v:rect>
              <v:shape id="Shape 30872" o:spid="_x0000_s1039" style="position:absolute;left:56473;top:60;width:2972;height:3170;visibility:visible;mso-wrap-style:square;v-text-anchor:top" coordsize="297180,316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" path="m,l297180,r,316992l,316992,,e" fillcolor="#ed7d31" stroked="f" strokeweight="0">
                <v:stroke miterlimit="83231f" joinstyle="miter"/>
                <v:path arrowok="t" textboxrect="0,0,297180,316992"/>
              </v:shape>
              <v:shape id="Shape 30873" o:spid="_x0000_s1040" style="position:absolute;left:57205;top:792;width:1509;height:1707;visibility:visible;mso-wrap-style:square;v-text-anchor:top" coordsize="15087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" path="m,l150876,r,170688l,170688,,e" fillcolor="#ed7d31" stroked="f" strokeweight="0">
                <v:stroke miterlimit="83231f" joinstyle="miter"/>
                <v:path arrowok="t" textboxrect="0,0,150876,170688"/>
              </v:shape>
              <v:rect id="Rectangle 29789" o:spid="_x0000_s1041" style="position:absolute;left:56466;width:2974;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" filled="f" stroked="f">
                <v:textbox inset="0,0,0,0">
                  <w:txbxContent>
                    <w:p w14:paraId="4004C831" w14:textId="77777777" w:rsidR="00DE1C65" w:rsidRDefault="002314B0">
                      <w:pPr>
                        <w:spacing w:after="160" w:line="259" w:lineRule="auto"/>
                        <w:ind w:left="0" w:right="0" w:firstLine="0"/>
                        <w:jc w:val="left"/>
                      </w:pPr>
                      <w:r>
                        <w:fldChar w:fldCharType="begin"/>
                      </w:r>
                      <w:r>
                        <w:instrText xml:space="preserve"> PAGE   \* MERGEFORMAT </w:instrText>
                      </w:r>
                      <w:r>
                        <w:fldChar w:fldCharType="separate"/>
                      </w:r>
                      <w:r>
                        <w:rPr>
                          <w:rFonts w:ascii="Calibri" w:eastAsia="Calibri" w:hAnsi="Calibri" w:cs="Calibri"/>
                          <w:color w:val="FFFFFF"/>
                          <w:sz w:val="22"/>
                        </w:rPr>
                        <w:t>2</w:t>
                      </w:r>
                      <w:r>
                        <w:rPr>
                          <w:rFonts w:ascii="Calibri" w:eastAsia="Calibri" w:hAnsi="Calibri" w:cs="Calibri"/>
                          <w:color w:val="FFFFFF"/>
                          <w:sz w:val="22"/>
                        </w:rPr>
                        <w:fldChar w:fldCharType="end"/>
                      </w:r>
                    </w:p>
                  </w:txbxContent>
                </v:textbox>
              </v:rect>
              <v:rect id="Rectangle 29790" o:spid="_x0000_s1042" style="position:absolute;left:58302;top:1066;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" filled="f" stroked="f">
                <v:textbox inset="0,0,0,0">
                  <w:txbxContent>
                    <w:p w14:paraId="74F37132" w14:textId="77777777" w:rsidR="00DE1C65" w:rsidRDefault="002314B0">
                      <w:pPr>
                        <w:spacing w:after="160" w:line="259" w:lineRule="auto"/>
                        <w:ind w:left="0" w:right="0" w:firstLine="0"/>
                        <w:jc w:val="left"/>
                      </w:pPr>
                      <w:r>
                        <w:rPr>
                          <w:rFonts w:ascii="Calibri" w:eastAsia="Calibri" w:hAnsi="Calibri" w:cs="Calibri"/>
                          <w:color w:val="FFFFFF"/>
                          <w:sz w:val="22"/>
                        </w:rPr>
                        <w:t xml:space="preserve"> </w:t>
                      </w:r>
                    </w:p>
                  </w:txbxContent>
                </v:textbox>
              </v:rect>
              <v:shape id="Shape 30874" o:spid="_x0000_s1043" style="position:absolute;width:56473;height:91;visibility:visible;mso-wrap-style:square;v-text-anchor:top" coordsize="56473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" path="m,l5647310,r,9144l,9144,,e" fillcolor="black" stroked="f" strokeweight="0">
                <v:stroke miterlimit="83231f" joinstyle="miter"/>
                <v:path arrowok="t" textboxrect="0,0,5647310,9144"/>
              </v:shape>
              <v:shape id="Shape 30875" o:spid="_x0000_s1044" style="position:absolute;left:56473;width:2972;height:792;visibility:visible;mso-wrap-style:square;v-text-anchor:top" coordsize="297180,79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" path="m,l297180,r,79248l,79248,,e" fillcolor="#ed7d31" stroked="f" strokeweight="0">
                <v:stroke miterlimit="83231f" joinstyle="miter"/>
                <v:path arrowok="t" textboxrect="0,0,297180,79248"/>
              </v:shape>
              <v:shape id="Shape 30876" o:spid="_x0000_s1045" style="position:absolute;left:56473;top:2499;width:2972;height:731;visibility:visible;mso-wrap-style:square;v-text-anchor:top" coordsize="297180,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" path="m,l297180,r,73152l,73152,,e" fillcolor="#ed7d31" stroked="f" strokeweight="0">
                <v:stroke miterlimit="83231f" joinstyle="miter"/>
                <v:path arrowok="t" textboxrect="0,0,297180,73152"/>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98BC" w14:textId="77777777" w:rsidR="00DE1C65" w:rsidRDefault="00DE1C65">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F8C83" w14:textId="77777777" w:rsidR="00322BD1" w:rsidRDefault="00322BD1">
      <w:pPr>
        <w:spacing w:after="0" w:line="259" w:lineRule="auto"/>
        <w:ind w:left="0" w:right="0" w:firstLine="0"/>
        <w:jc w:val="left"/>
      </w:pPr>
      <w:r>
        <w:separator/>
      </w:r>
    </w:p>
  </w:footnote>
  <w:footnote w:type="continuationSeparator" w:id="0">
    <w:p w14:paraId="31141D83" w14:textId="77777777" w:rsidR="00322BD1" w:rsidRDefault="00322BD1">
      <w:pPr>
        <w:spacing w:after="0" w:line="259" w:lineRule="auto"/>
        <w:ind w:left="0" w:right="0" w:firstLine="0"/>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042F"/>
    <w:multiLevelType w:val="hybridMultilevel"/>
    <w:tmpl w:val="6C1CF53A"/>
    <w:lvl w:ilvl="0" w:tplc="38BE1D2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1044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7C50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7221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021E1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8C69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9E40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46B3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02D4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30833F7"/>
    <w:multiLevelType w:val="hybridMultilevel"/>
    <w:tmpl w:val="6D3E649E"/>
    <w:lvl w:ilvl="0" w:tplc="608A2C9C">
      <w:start w:val="1"/>
      <w:numFmt w:val="bullet"/>
      <w:lvlText w:val=""/>
      <w:lvlJc w:val="left"/>
      <w:pPr>
        <w:ind w:left="0"/>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1" w:tplc="CB44891E">
      <w:start w:val="1"/>
      <w:numFmt w:val="bullet"/>
      <w:lvlText w:val="o"/>
      <w:lvlJc w:val="left"/>
      <w:pPr>
        <w:ind w:left="118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2" w:tplc="A69E6B8C">
      <w:start w:val="1"/>
      <w:numFmt w:val="bullet"/>
      <w:lvlText w:val="▪"/>
      <w:lvlJc w:val="left"/>
      <w:pPr>
        <w:ind w:left="190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3" w:tplc="4B3E0372">
      <w:start w:val="1"/>
      <w:numFmt w:val="bullet"/>
      <w:lvlText w:val="•"/>
      <w:lvlJc w:val="left"/>
      <w:pPr>
        <w:ind w:left="2626"/>
      </w:pPr>
      <w:rPr>
        <w:rFonts w:ascii="Arial" w:eastAsia="Arial" w:hAnsi="Arial" w:cs="Arial"/>
        <w:b w:val="0"/>
        <w:i w:val="0"/>
        <w:strike w:val="0"/>
        <w:dstrike w:val="0"/>
        <w:color w:val="C45911"/>
        <w:sz w:val="24"/>
        <w:szCs w:val="24"/>
        <w:u w:val="none" w:color="000000"/>
        <w:bdr w:val="none" w:sz="0" w:space="0" w:color="auto"/>
        <w:shd w:val="clear" w:color="auto" w:fill="auto"/>
        <w:vertAlign w:val="baseline"/>
      </w:rPr>
    </w:lvl>
    <w:lvl w:ilvl="4" w:tplc="914A2F52">
      <w:start w:val="1"/>
      <w:numFmt w:val="bullet"/>
      <w:lvlText w:val="o"/>
      <w:lvlJc w:val="left"/>
      <w:pPr>
        <w:ind w:left="334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5" w:tplc="DFE88B50">
      <w:start w:val="1"/>
      <w:numFmt w:val="bullet"/>
      <w:lvlText w:val="▪"/>
      <w:lvlJc w:val="left"/>
      <w:pPr>
        <w:ind w:left="406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6" w:tplc="0358B702">
      <w:start w:val="1"/>
      <w:numFmt w:val="bullet"/>
      <w:lvlText w:val="•"/>
      <w:lvlJc w:val="left"/>
      <w:pPr>
        <w:ind w:left="4786"/>
      </w:pPr>
      <w:rPr>
        <w:rFonts w:ascii="Arial" w:eastAsia="Arial" w:hAnsi="Arial" w:cs="Arial"/>
        <w:b w:val="0"/>
        <w:i w:val="0"/>
        <w:strike w:val="0"/>
        <w:dstrike w:val="0"/>
        <w:color w:val="C45911"/>
        <w:sz w:val="24"/>
        <w:szCs w:val="24"/>
        <w:u w:val="none" w:color="000000"/>
        <w:bdr w:val="none" w:sz="0" w:space="0" w:color="auto"/>
        <w:shd w:val="clear" w:color="auto" w:fill="auto"/>
        <w:vertAlign w:val="baseline"/>
      </w:rPr>
    </w:lvl>
    <w:lvl w:ilvl="7" w:tplc="704C7DFE">
      <w:start w:val="1"/>
      <w:numFmt w:val="bullet"/>
      <w:lvlText w:val="o"/>
      <w:lvlJc w:val="left"/>
      <w:pPr>
        <w:ind w:left="550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lvl w:ilvl="8" w:tplc="FB906F6C">
      <w:start w:val="1"/>
      <w:numFmt w:val="bullet"/>
      <w:lvlText w:val="▪"/>
      <w:lvlJc w:val="left"/>
      <w:pPr>
        <w:ind w:left="6226"/>
      </w:pPr>
      <w:rPr>
        <w:rFonts w:ascii="Segoe UI Symbol" w:eastAsia="Segoe UI Symbol" w:hAnsi="Segoe UI Symbol" w:cs="Segoe UI Symbol"/>
        <w:b w:val="0"/>
        <w:i w:val="0"/>
        <w:strike w:val="0"/>
        <w:dstrike w:val="0"/>
        <w:color w:val="C45911"/>
        <w:sz w:val="24"/>
        <w:szCs w:val="24"/>
        <w:u w:val="none" w:color="000000"/>
        <w:bdr w:val="none" w:sz="0" w:space="0" w:color="auto"/>
        <w:shd w:val="clear" w:color="auto" w:fill="auto"/>
        <w:vertAlign w:val="baseline"/>
      </w:rPr>
    </w:lvl>
  </w:abstractNum>
  <w:abstractNum w:abstractNumId="2" w15:restartNumberingAfterBreak="0">
    <w:nsid w:val="24E63709"/>
    <w:multiLevelType w:val="hybridMultilevel"/>
    <w:tmpl w:val="3AF8A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C005D0"/>
    <w:multiLevelType w:val="hybridMultilevel"/>
    <w:tmpl w:val="6BD67982"/>
    <w:lvl w:ilvl="0" w:tplc="CB44A46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9FE42E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0AE37B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7122C8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2FA026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B5858E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8BCC07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250422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C76C8C4">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429546449">
    <w:abstractNumId w:val="0"/>
  </w:num>
  <w:num w:numId="2" w16cid:durableId="334117164">
    <w:abstractNumId w:val="3"/>
  </w:num>
  <w:num w:numId="3" w16cid:durableId="1371417387">
    <w:abstractNumId w:val="1"/>
  </w:num>
  <w:num w:numId="4" w16cid:durableId="522425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C65"/>
    <w:rsid w:val="000E3D84"/>
    <w:rsid w:val="000F6094"/>
    <w:rsid w:val="00117EB2"/>
    <w:rsid w:val="00131E6C"/>
    <w:rsid w:val="00160ABE"/>
    <w:rsid w:val="00172C8C"/>
    <w:rsid w:val="001F3350"/>
    <w:rsid w:val="001F5508"/>
    <w:rsid w:val="0020597C"/>
    <w:rsid w:val="0023042D"/>
    <w:rsid w:val="002314B0"/>
    <w:rsid w:val="00256E93"/>
    <w:rsid w:val="002C6D87"/>
    <w:rsid w:val="002E1601"/>
    <w:rsid w:val="002F2AFF"/>
    <w:rsid w:val="00311E83"/>
    <w:rsid w:val="00322BD1"/>
    <w:rsid w:val="003E55D8"/>
    <w:rsid w:val="00454E99"/>
    <w:rsid w:val="00474C82"/>
    <w:rsid w:val="004C1803"/>
    <w:rsid w:val="004F7D0D"/>
    <w:rsid w:val="005F65A6"/>
    <w:rsid w:val="00635503"/>
    <w:rsid w:val="006F4142"/>
    <w:rsid w:val="00776878"/>
    <w:rsid w:val="00795E62"/>
    <w:rsid w:val="007D1B9D"/>
    <w:rsid w:val="00825E45"/>
    <w:rsid w:val="0086220A"/>
    <w:rsid w:val="008B5765"/>
    <w:rsid w:val="008E076C"/>
    <w:rsid w:val="00904FCA"/>
    <w:rsid w:val="009525D1"/>
    <w:rsid w:val="00983021"/>
    <w:rsid w:val="00A91157"/>
    <w:rsid w:val="00AA3A3A"/>
    <w:rsid w:val="00AC34E8"/>
    <w:rsid w:val="00B006B6"/>
    <w:rsid w:val="00BD6B4D"/>
    <w:rsid w:val="00BE1197"/>
    <w:rsid w:val="00C37B97"/>
    <w:rsid w:val="00CE4FC8"/>
    <w:rsid w:val="00CF632A"/>
    <w:rsid w:val="00D303C7"/>
    <w:rsid w:val="00DE1C65"/>
    <w:rsid w:val="00E50C7D"/>
    <w:rsid w:val="00F2727A"/>
    <w:rsid w:val="00F83361"/>
    <w:rsid w:val="00FA0384"/>
    <w:rsid w:val="00FA4F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E972C"/>
  <w15:docId w15:val="{69E93D55-D455-46E2-9662-F0D58B1E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28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0" w:line="249" w:lineRule="auto"/>
      <w:ind w:left="244"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3" w:line="259" w:lineRule="auto"/>
      <w:ind w:left="10" w:hanging="10"/>
      <w:outlineLvl w:val="1"/>
    </w:pPr>
    <w:rPr>
      <w:rFonts w:ascii="Times New Roman" w:eastAsia="Times New Roman" w:hAnsi="Times New Roman" w:cs="Times New Roman"/>
      <w:b/>
      <w:i/>
      <w:color w:val="000000"/>
    </w:rPr>
  </w:style>
  <w:style w:type="paragraph" w:styleId="Heading3">
    <w:name w:val="heading 3"/>
    <w:next w:val="Normal"/>
    <w:link w:val="Heading3Char"/>
    <w:uiPriority w:val="9"/>
    <w:unhideWhenUsed/>
    <w:qFormat/>
    <w:pPr>
      <w:keepNext/>
      <w:keepLines/>
      <w:spacing w:after="3" w:line="259" w:lineRule="auto"/>
      <w:ind w:left="10" w:hanging="10"/>
      <w:outlineLvl w:val="2"/>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0" w:line="259" w:lineRule="auto"/>
    </w:pPr>
    <w:rPr>
      <w:rFonts w:ascii="Calibri" w:eastAsia="Calibri" w:hAnsi="Calibri" w:cs="Calibri"/>
      <w:color w:val="0563C1"/>
      <w:sz w:val="20"/>
      <w:u w:val="single" w:color="0563C1"/>
    </w:rPr>
  </w:style>
  <w:style w:type="character" w:customStyle="1" w:styleId="footnotedescriptionChar">
    <w:name w:val="footnote description Char"/>
    <w:link w:val="footnotedescription"/>
    <w:rPr>
      <w:rFonts w:ascii="Calibri" w:eastAsia="Calibri" w:hAnsi="Calibri" w:cs="Calibri"/>
      <w:color w:val="0563C1"/>
      <w:sz w:val="20"/>
      <w:u w:val="single" w:color="0563C1"/>
    </w:rPr>
  </w:style>
  <w:style w:type="character" w:customStyle="1" w:styleId="Heading2Char">
    <w:name w:val="Heading 2 Char"/>
    <w:link w:val="Heading2"/>
    <w:rPr>
      <w:rFonts w:ascii="Times New Roman" w:eastAsia="Times New Roman" w:hAnsi="Times New Roman" w:cs="Times New Roman"/>
      <w:b/>
      <w:i/>
      <w:color w:val="000000"/>
      <w:sz w:val="24"/>
    </w:rPr>
  </w:style>
  <w:style w:type="character" w:customStyle="1" w:styleId="Heading3Char">
    <w:name w:val="Heading 3 Char"/>
    <w:link w:val="Heading3"/>
    <w:rPr>
      <w:rFonts w:ascii="Times New Roman" w:eastAsia="Times New Roman" w:hAnsi="Times New Roman" w:cs="Times New Roman"/>
      <w:b/>
      <w:i/>
      <w:color w:val="00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62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20A"/>
    <w:rPr>
      <w:rFonts w:ascii="Times New Roman" w:eastAsia="Times New Roman" w:hAnsi="Times New Roman" w:cs="Times New Roman"/>
      <w:color w:val="000000"/>
    </w:rPr>
  </w:style>
  <w:style w:type="paragraph" w:styleId="NormalWeb">
    <w:name w:val="Normal (Web)"/>
    <w:basedOn w:val="Normal"/>
    <w:uiPriority w:val="99"/>
    <w:unhideWhenUsed/>
    <w:rsid w:val="00825E45"/>
    <w:pPr>
      <w:spacing w:before="100" w:beforeAutospacing="1" w:after="100" w:afterAutospacing="1" w:line="240" w:lineRule="auto"/>
      <w:ind w:left="0" w:right="0" w:firstLine="0"/>
      <w:jc w:val="left"/>
    </w:pPr>
    <w:rPr>
      <w:color w:val="auto"/>
      <w:kern w:val="0"/>
      <w14:ligatures w14:val="none"/>
    </w:rPr>
  </w:style>
  <w:style w:type="character" w:styleId="Emphasis">
    <w:name w:val="Emphasis"/>
    <w:basedOn w:val="DefaultParagraphFont"/>
    <w:uiPriority w:val="20"/>
    <w:qFormat/>
    <w:rsid w:val="00825E45"/>
    <w:rPr>
      <w:i/>
      <w:iCs/>
    </w:rPr>
  </w:style>
  <w:style w:type="character" w:styleId="Strong">
    <w:name w:val="Strong"/>
    <w:basedOn w:val="DefaultParagraphFont"/>
    <w:uiPriority w:val="22"/>
    <w:qFormat/>
    <w:rsid w:val="00825E45"/>
    <w:rPr>
      <w:b/>
      <w:bCs/>
    </w:rPr>
  </w:style>
  <w:style w:type="paragraph" w:customStyle="1" w:styleId="pdq2pgselectionanchorcontainer">
    <w:name w:val="pdq2pg_selectionanchorcontainer"/>
    <w:basedOn w:val="Normal"/>
    <w:rsid w:val="00825E45"/>
    <w:pPr>
      <w:spacing w:before="100" w:beforeAutospacing="1" w:after="100" w:afterAutospacing="1" w:line="240" w:lineRule="auto"/>
      <w:ind w:left="0" w:right="0" w:firstLine="0"/>
      <w:jc w:val="left"/>
    </w:pPr>
    <w:rPr>
      <w:color w:val="auto"/>
      <w:kern w:val="0"/>
      <w14:ligatures w14:val="none"/>
    </w:rPr>
  </w:style>
  <w:style w:type="paragraph" w:styleId="Footer">
    <w:name w:val="footer"/>
    <w:basedOn w:val="Normal"/>
    <w:link w:val="FooterChar"/>
    <w:uiPriority w:val="99"/>
    <w:unhideWhenUsed/>
    <w:rsid w:val="00CE4FC8"/>
    <w:pPr>
      <w:tabs>
        <w:tab w:val="center" w:pos="4680"/>
        <w:tab w:val="right" w:pos="9360"/>
      </w:tabs>
      <w:spacing w:after="0" w:line="240" w:lineRule="auto"/>
      <w:ind w:left="0" w:right="0" w:firstLine="0"/>
      <w:jc w:val="left"/>
    </w:pPr>
    <w:rPr>
      <w:rFonts w:asciiTheme="minorHAnsi" w:eastAsiaTheme="minorEastAsia" w:hAnsiTheme="minorHAnsi"/>
      <w:color w:val="auto"/>
      <w:kern w:val="0"/>
      <w:sz w:val="22"/>
      <w:szCs w:val="22"/>
      <w14:ligatures w14:val="none"/>
    </w:rPr>
  </w:style>
  <w:style w:type="character" w:customStyle="1" w:styleId="FooterChar">
    <w:name w:val="Footer Char"/>
    <w:basedOn w:val="DefaultParagraphFont"/>
    <w:link w:val="Footer"/>
    <w:uiPriority w:val="99"/>
    <w:rsid w:val="00CE4FC8"/>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3971</Words>
  <Characters>22641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Applied research in social sciences</dc:creator>
  <cp:keywords/>
  <cp:lastModifiedBy>Windows</cp:lastModifiedBy>
  <cp:revision>36</cp:revision>
  <dcterms:created xsi:type="dcterms:W3CDTF">2026-08-07T09:35:00Z</dcterms:created>
  <dcterms:modified xsi:type="dcterms:W3CDTF">2026-09-11T04:06:00Z</dcterms:modified>
</cp:coreProperties>
</file>